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Textron (TXT) before writing the preview. Let me gather recent filings, transcripts, and news in parallel.Let me read the most recent quarter's release and transcript, plus check recent news.Let me get the year-ago Q2 comparison data, recent news, and stock price performance.Let me check recent news/press releases on the Industrial separation progress and MV-75 funding.Let me check for analyst expectations and any recent MV-75/separation developments via web search.I have what I need. Let me pull one quick figure set together before writing.Here is my earnings preview.</w:t>
      </w:r>
    </w:p>
    <w:p>
      <w:r>
        <w:pict>
          <v:rect style="width:0;height:1.5pt" o:hralign="center" o:hrstd="t" o:hr="t"/>
        </w:pict>
      </w:r>
    </w:p>
    <w:bookmarkStart w:id="15" w:name="textron-txt--q2-fy2026-earnings-preview"/>
    <w:p>
      <w:pPr>
        <w:pStyle w:val="Heading1"/>
      </w:pPr>
      <w:r>
        <w:t xml:space="preserve">Textron (TXT) — Q2 FY2026 Earnings Preview</w:t>
      </w:r>
    </w:p>
    <w:bookmarkStart w:id="9" w:name="X998c3a261614fb2672a9bb5fb06e1988126f97a"/>
    <w:p>
      <w:pPr>
        <w:pStyle w:val="Heading3"/>
      </w:pPr>
      <w:r>
        <w:t xml:space="preserve">Report date: Tuesday, July 28, 2026 (before market open) | 2026Q2 Earnings Call</w:t>
      </w:r>
    </w:p>
    <w:bookmarkEnd w:id="9"/>
    <w:bookmarkStart w:id="10" w:name="the-one-line-setup"/>
    <w:p>
      <w:pPr>
        <w:pStyle w:val="Heading2"/>
      </w:pPr>
      <w:r>
        <w:t xml:space="preserve">The one-line setup</w:t>
      </w:r>
    </w:p>
    <w:p>
      <w:pPr>
        <w:pStyle w:val="FirstParagraph"/>
      </w:pPr>
      <w:r>
        <w:t xml:space="preserve">This is the first mid-year print since Textron shocked the market on April 30 by announcing its</w:t>
      </w:r>
      <w:r>
        <w:t xml:space="preserve"> </w:t>
      </w:r>
      <w:r>
        <w:rPr>
          <w:b/>
          <w:bCs/>
        </w:rPr>
        <w:t xml:space="preserve">intent to separate the Industrial segment</w:t>
      </w:r>
      <w:r>
        <w:t xml:space="preserve"> </w:t>
      </w:r>
      <w:r>
        <w:t xml:space="preserve">and reposition as a</w:t>
      </w:r>
      <w:r>
        <w:t xml:space="preserve"> </w:t>
      </w:r>
      <w:r>
        <w:rPr>
          <w:b/>
          <w:bCs/>
        </w:rPr>
        <w:t xml:space="preserve">pure-play aerospace &amp; defense company</w:t>
      </w:r>
      <w:r>
        <w:t xml:space="preserve">. The financials matter, but the two things that will actually move the stock are (1) any update on the separation path/timeline and (2) whether management</w:t>
      </w:r>
      <w:r>
        <w:t xml:space="preserve"> </w:t>
      </w:r>
      <w:r>
        <w:rPr>
          <w:b/>
          <w:bCs/>
        </w:rPr>
        <w:t xml:space="preserve">raises full-year guidance</w:t>
      </w:r>
      <w:r>
        <w:t xml:space="preserve"> </w:t>
      </w:r>
      <w:r>
        <w:t xml:space="preserve">after a strong Q1. Shares have rallied ~7% in the two weeks into the print (to ~$96, +10.5% YTD), so expectations are no longer washed out.</w:t>
      </w:r>
    </w:p>
    <w:p>
      <w:r>
        <w:pict>
          <v:rect style="width:0;height:1.5pt" o:hralign="center" o:hrstd="t" o:hr="t"/>
        </w:pict>
      </w:r>
    </w:p>
    <w:bookmarkEnd w:id="10"/>
    <w:bookmarkStart w:id="11" w:name="X7ff3c8f094900f39fc7096c4c7bef38a1c4e4cb"/>
    <w:p>
      <w:pPr>
        <w:pStyle w:val="Heading2"/>
      </w:pPr>
      <w:r>
        <w:t xml:space="preserve">1. What just happened (Q1 FY2026 recap — the launchpad)</w:t>
      </w:r>
    </w:p>
    <w:p>
      <w:pPr>
        <w:pStyle w:val="FirstParagraph"/>
      </w:pPr>
      <w:r>
        <w:t xml:space="preserve">Textron entered the year hot, and the Q1 beat is the base case investors are extrapolating: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FY2026</w:t>
            </w:r>
          </w:p>
        </w:tc>
        <w:tc>
          <w:tcPr/>
          <w:p>
            <w:pPr>
              <w:pStyle w:val="Compact"/>
            </w:pPr>
            <w:r>
              <w:t xml:space="preserve">Q1 FY2025</w:t>
            </w:r>
          </w:p>
        </w:tc>
        <w:tc>
          <w:tcPr/>
          <w:p>
            <w:pPr>
              <w:pStyle w:val="Compact"/>
            </w:pPr>
            <w:r>
              <w:t xml:space="preserve">Δ</w:t>
            </w:r>
          </w:p>
        </w:tc>
      </w:tr>
      <w:tr>
        <w:tc>
          <w:tcPr/>
          <w:p>
            <w:pPr>
              <w:pStyle w:val="Compact"/>
            </w:pPr>
            <w:r>
              <w:t xml:space="preserve">Revenue</w:t>
            </w:r>
          </w:p>
        </w:tc>
        <w:tc>
          <w:tcPr/>
          <w:p>
            <w:pPr>
              <w:pStyle w:val="Compact"/>
            </w:pPr>
            <w:r>
              <w:t xml:space="preserve">$3.70B</w:t>
            </w:r>
          </w:p>
        </w:tc>
        <w:tc>
          <w:tcPr/>
          <w:p>
            <w:pPr>
              <w:pStyle w:val="Compact"/>
            </w:pPr>
            <w:r>
              <w:t xml:space="preserve">$3.31B</w:t>
            </w:r>
          </w:p>
        </w:tc>
        <w:tc>
          <w:tcPr/>
          <w:p>
            <w:pPr>
              <w:pStyle w:val="Compact"/>
            </w:pPr>
            <w:r>
              <w:t xml:space="preserve">+12%</w:t>
            </w:r>
          </w:p>
        </w:tc>
      </w:tr>
      <w:tr>
        <w:tc>
          <w:tcPr/>
          <w:p>
            <w:pPr>
              <w:pStyle w:val="Compact"/>
            </w:pPr>
            <w:r>
              <w:t xml:space="preserve">Segment profit</w:t>
            </w:r>
          </w:p>
        </w:tc>
        <w:tc>
          <w:tcPr/>
          <w:p>
            <w:pPr>
              <w:pStyle w:val="Compact"/>
            </w:pPr>
            <w:r>
              <w:t xml:space="preserve">$320M</w:t>
            </w:r>
          </w:p>
        </w:tc>
        <w:tc>
          <w:tcPr/>
          <w:p>
            <w:pPr>
              <w:pStyle w:val="Compact"/>
            </w:pPr>
            <w:r>
              <w:t xml:space="preserve">$290M</w:t>
            </w:r>
          </w:p>
        </w:tc>
        <w:tc>
          <w:tcPr/>
          <w:p>
            <w:pPr>
              <w:pStyle w:val="Compact"/>
            </w:pPr>
            <w:r>
              <w:t xml:space="preserve">+10%</w:t>
            </w:r>
          </w:p>
        </w:tc>
      </w:tr>
      <w:tr>
        <w:tc>
          <w:tcPr/>
          <w:p>
            <w:pPr>
              <w:pStyle w:val="Compact"/>
            </w:pPr>
            <w:r>
              <w:t xml:space="preserve">Adjusted EPS</w:t>
            </w:r>
          </w:p>
        </w:tc>
        <w:tc>
          <w:tcPr/>
          <w:p>
            <w:pPr>
              <w:pStyle w:val="Compact"/>
            </w:pPr>
            <w:r>
              <w:t xml:space="preserve">$1.45</w:t>
            </w:r>
          </w:p>
        </w:tc>
        <w:tc>
          <w:tcPr/>
          <w:p>
            <w:pPr>
              <w:pStyle w:val="Compact"/>
            </w:pPr>
            <w:r>
              <w:t xml:space="preserve">$1.28</w:t>
            </w:r>
          </w:p>
        </w:tc>
        <w:tc>
          <w:tcPr/>
          <w:p>
            <w:pPr>
              <w:pStyle w:val="Compact"/>
            </w:pPr>
            <w:r>
              <w:t xml:space="preserve">+13%</w:t>
            </w:r>
          </w:p>
        </w:tc>
      </w:tr>
      <w:tr>
        <w:tc>
          <w:tcPr/>
          <w:p>
            <w:pPr>
              <w:pStyle w:val="Compact"/>
            </w:pPr>
            <w:r>
              <w:t xml:space="preserve">GAAP EPS</w:t>
            </w:r>
          </w:p>
        </w:tc>
        <w:tc>
          <w:tcPr/>
          <w:p>
            <w:pPr>
              <w:pStyle w:val="Compact"/>
            </w:pPr>
            <w:r>
              <w:t xml:space="preserve">$1.25</w:t>
            </w:r>
          </w:p>
        </w:tc>
        <w:tc>
          <w:tcPr/>
          <w:p>
            <w:pPr>
              <w:pStyle w:val="Compact"/>
            </w:pPr>
            <w:r>
              <w:t xml:space="preserve">$1.13</w:t>
            </w:r>
          </w:p>
        </w:tc>
        <w:tc>
          <w:tcPr/>
          <w:p>
            <w:pPr>
              <w:pStyle w:val="Compact"/>
            </w:pPr>
            <w:r>
              <w:t xml:space="preserve">—</w:t>
            </w:r>
          </w:p>
        </w:tc>
      </w:tr>
    </w:tbl>
    <w:p>
      <w:pPr>
        <w:pStyle w:val="Compact"/>
        <w:numPr>
          <w:ilvl w:val="0"/>
          <w:numId w:val="1001"/>
        </w:numPr>
      </w:pPr>
      <w:r>
        <w:rPr>
          <w:b/>
          <w:bCs/>
        </w:rPr>
        <w:t xml:space="preserve">Aviation</w:t>
      </w:r>
      <w:r>
        <w:t xml:space="preserve">: revenue +22% to $1.49B; 37 jets (vs 31) and 35 turboprops (vs 30); 10.4% margin; backlog $8.0B.</w:t>
      </w:r>
    </w:p>
    <w:p>
      <w:pPr>
        <w:pStyle w:val="Compact"/>
        <w:numPr>
          <w:ilvl w:val="0"/>
          <w:numId w:val="1001"/>
        </w:numPr>
      </w:pPr>
      <w:r>
        <w:rPr>
          <w:b/>
          <w:bCs/>
        </w:rPr>
        <w:t xml:space="preserve">Bell</w:t>
      </w:r>
      <w:r>
        <w:t xml:space="preserve">: revenue +9% to $1.07B on MV-75 ramp, but profit</w:t>
      </w:r>
      <w:r>
        <w:t xml:space="preserve"> </w:t>
      </w:r>
      <w:r>
        <w:rPr>
          <w:b/>
          <w:bCs/>
        </w:rPr>
        <w:t xml:space="preserve">fell</w:t>
      </w:r>
      <w:r>
        <w:t xml:space="preserve"> </w:t>
      </w:r>
      <w:r>
        <w:t xml:space="preserve">$18M to $72M on unfavorable military mix + weak commercial (20 helos vs 29).</w:t>
      </w:r>
    </w:p>
    <w:p>
      <w:pPr>
        <w:pStyle w:val="Compact"/>
        <w:numPr>
          <w:ilvl w:val="0"/>
          <w:numId w:val="1001"/>
        </w:numPr>
      </w:pPr>
      <w:r>
        <w:rPr>
          <w:b/>
          <w:bCs/>
        </w:rPr>
        <w:t xml:space="preserve">Systems</w:t>
      </w:r>
      <w:r>
        <w:t xml:space="preserve">: revenue +13% to $338M; 12.4% margin; backlog jumped to $3.6B.</w:t>
      </w:r>
    </w:p>
    <w:p>
      <w:pPr>
        <w:pStyle w:val="Compact"/>
        <w:numPr>
          <w:ilvl w:val="0"/>
          <w:numId w:val="1001"/>
        </w:numPr>
      </w:pPr>
      <w:r>
        <w:rPr>
          <w:b/>
          <w:bCs/>
        </w:rPr>
        <w:t xml:space="preserve">Industrial</w:t>
      </w:r>
      <w:r>
        <w:t xml:space="preserve">: revenue roughly flat (</w:t>
      </w:r>
      <m:oMath>
        <m:r>
          <m:t>786</m:t>
        </m:r>
        <m:r>
          <m:t>M</m:t>
        </m:r>
        <m:r>
          <m:rPr>
            <m:sty m:val="p"/>
          </m:rPr>
          <m:t>)</m:t>
        </m:r>
        <m:r>
          <m:t>b</m:t>
        </m:r>
        <m:r>
          <m:t>u</m:t>
        </m:r>
        <m:r>
          <m:t>t</m:t>
        </m:r>
        <m:r>
          <m:t>p</m:t>
        </m:r>
        <m:r>
          <m:t>r</m:t>
        </m:r>
        <m:r>
          <m:t>o</m:t>
        </m:r>
        <m:r>
          <m:t>f</m:t>
        </m:r>
        <m:r>
          <m:t>i</m:t>
        </m:r>
        <m:r>
          <m:t>t</m:t>
        </m:r>
        <m:r>
          <m:rPr>
            <m:sty m:val="p"/>
          </m:rPr>
          <m:t>+</m:t>
        </m:r>
      </m:oMath>
      <w:r>
        <w:t xml:space="preserve">10M to $40M on restructuring benefits.</w:t>
      </w:r>
    </w:p>
    <w:p>
      <w:pPr>
        <w:pStyle w:val="FirstParagraph"/>
      </w:pPr>
      <w:r>
        <w:t xml:space="preserve">Two structural notes for modeling the comparison tomorrow: the</w:t>
      </w:r>
      <w:r>
        <w:t xml:space="preserve"> </w:t>
      </w:r>
      <w:r>
        <w:rPr>
          <w:b/>
          <w:bCs/>
        </w:rPr>
        <w:t xml:space="preserve">eAviation segment was eliminated</w:t>
      </w:r>
      <w:r>
        <w:t xml:space="preserve"> </w:t>
      </w:r>
      <w:r>
        <w:t xml:space="preserve">effective FY2026 (Pipistrel folded into Aviation, military/UAS into Systems, some R&amp;D into Corporate), and</w:t>
      </w:r>
      <w:r>
        <w:t xml:space="preserve"> </w:t>
      </w:r>
      <w:r>
        <w:rPr>
          <w:b/>
          <w:bCs/>
        </w:rPr>
        <w:t xml:space="preserve">prior-year periods are recast</w:t>
      </w:r>
      <w:r>
        <w:t xml:space="preserve"> </w:t>
      </w:r>
      <w:r>
        <w:t xml:space="preserve">— so Q2 2025 headline segment figures below won't tie exactly to what TXT reports as the comparison.</w:t>
      </w:r>
    </w:p>
    <w:p>
      <w:r>
        <w:pict>
          <v:rect style="width:0;height:1.5pt" o:hralign="center" o:hrstd="t" o:hr="t"/>
        </w:pict>
      </w:r>
    </w:p>
    <w:bookmarkEnd w:id="11"/>
    <w:bookmarkStart w:id="12" w:name="Xbbb1f486f77d92f4dcc8c34c6f3a09c1c285478"/>
    <w:p>
      <w:pPr>
        <w:pStyle w:val="Heading2"/>
      </w:pPr>
      <w:r>
        <w:t xml:space="preserve">2. The year-ago bar (Q2 FY2025, as originally reported)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pPr>
            <w:r>
              <w:t xml:space="preserve">Rev</w:t>
            </w:r>
          </w:p>
        </w:tc>
        <w:tc>
          <w:tcPr/>
          <w:p>
            <w:pPr>
              <w:pStyle w:val="Compact"/>
            </w:pPr>
            <w:r>
              <w:t xml:space="preserve">Seg profit</w:t>
            </w:r>
          </w:p>
        </w:tc>
        <w:tc>
          <w:tcPr/>
          <w:p>
            <w:pPr>
              <w:pStyle w:val="Compact"/>
            </w:pPr>
            <w:r>
              <w:t xml:space="preserve">Notes</w:t>
            </w:r>
          </w:p>
        </w:tc>
      </w:tr>
      <w:tr>
        <w:tc>
          <w:tcPr/>
          <w:p>
            <w:pPr>
              <w:pStyle w:val="Compact"/>
            </w:pPr>
            <w:r>
              <w:t xml:space="preserve">Aviation</w:t>
            </w:r>
          </w:p>
        </w:tc>
        <w:tc>
          <w:tcPr/>
          <w:p>
            <w:pPr>
              <w:pStyle w:val="Compact"/>
            </w:pPr>
            <w:r>
              <w:t xml:space="preserve">$1,517M</w:t>
            </w:r>
          </w:p>
        </w:tc>
        <w:tc>
          <w:tcPr/>
          <w:p>
            <w:pPr>
              <w:pStyle w:val="Compact"/>
            </w:pPr>
            <w:r>
              <w:t xml:space="preserve">$180M</w:t>
            </w:r>
          </w:p>
        </w:tc>
        <w:tc>
          <w:tcPr/>
          <w:p>
            <w:pPr>
              <w:pStyle w:val="Compact"/>
            </w:pPr>
            <w:r>
              <w:t xml:space="preserve">49 jets, 34 turboprops</w:t>
            </w:r>
          </w:p>
        </w:tc>
      </w:tr>
      <w:tr>
        <w:tc>
          <w:tcPr/>
          <w:p>
            <w:pPr>
              <w:pStyle w:val="Compact"/>
            </w:pPr>
            <w:r>
              <w:t xml:space="preserve">Bell</w:t>
            </w:r>
          </w:p>
        </w:tc>
        <w:tc>
          <w:tcPr/>
          <w:p>
            <w:pPr>
              <w:pStyle w:val="Compact"/>
            </w:pPr>
            <w:r>
              <w:t xml:space="preserve">$1,016M</w:t>
            </w:r>
          </w:p>
        </w:tc>
        <w:tc>
          <w:tcPr/>
          <w:p>
            <w:pPr>
              <w:pStyle w:val="Compact"/>
            </w:pPr>
            <w:r>
              <w:t xml:space="preserve">$80M</w:t>
            </w:r>
          </w:p>
        </w:tc>
        <w:tc>
          <w:tcPr/>
          <w:p>
            <w:pPr>
              <w:pStyle w:val="Compact"/>
            </w:pPr>
            <w:r>
              <w:t xml:space="preserve">32 commercial helos</w:t>
            </w:r>
          </w:p>
        </w:tc>
      </w:tr>
      <w:tr>
        <w:tc>
          <w:tcPr/>
          <w:p>
            <w:pPr>
              <w:pStyle w:val="Compact"/>
            </w:pPr>
            <w:r>
              <w:t xml:space="preserve">Systems</w:t>
            </w:r>
          </w:p>
        </w:tc>
        <w:tc>
          <w:tcPr/>
          <w:p>
            <w:pPr>
              <w:pStyle w:val="Compact"/>
            </w:pPr>
            <w:r>
              <w:t xml:space="preserve">$321M</w:t>
            </w:r>
          </w:p>
        </w:tc>
        <w:tc>
          <w:tcPr/>
          <w:p>
            <w:pPr>
              <w:pStyle w:val="Compact"/>
            </w:pPr>
            <w:r>
              <w:t xml:space="preserve">$40M</w:t>
            </w:r>
          </w:p>
        </w:tc>
        <w:tc>
          <w:tcPr/>
          <w:p>
            <w:pPr>
              <w:pStyle w:val="Compact"/>
            </w:pPr>
            <w:r>
              <w:t xml:space="preserve">backlog only $2.2B (now $3.6B)</w:t>
            </w:r>
          </w:p>
        </w:tc>
      </w:tr>
      <w:tr>
        <w:tc>
          <w:tcPr/>
          <w:p>
            <w:pPr>
              <w:pStyle w:val="Compact"/>
            </w:pPr>
            <w:r>
              <w:t xml:space="preserve">Industrial</w:t>
            </w:r>
          </w:p>
        </w:tc>
        <w:tc>
          <w:tcPr/>
          <w:p>
            <w:pPr>
              <w:pStyle w:val="Compact"/>
            </w:pPr>
            <w:r>
              <w:t xml:space="preserve">$839M</w:t>
            </w:r>
          </w:p>
        </w:tc>
        <w:tc>
          <w:tcPr/>
          <w:p>
            <w:pPr>
              <w:pStyle w:val="Compact"/>
            </w:pPr>
            <w:r>
              <w:t xml:space="preserve">$54M</w:t>
            </w:r>
          </w:p>
        </w:tc>
        <w:tc>
          <w:tcPr/>
          <w:p>
            <w:pPr>
              <w:pStyle w:val="Compact"/>
            </w:pPr>
            <w:r>
              <w:t xml:space="preserve">pre-recast, incl. eAviation drag</w:t>
            </w:r>
          </w:p>
        </w:tc>
      </w:tr>
      <w:tr>
        <w:tc>
          <w:tcPr/>
          <w:p>
            <w:pPr>
              <w:pStyle w:val="Compact"/>
            </w:pPr>
            <w:r>
              <w:rPr>
                <w:b/>
                <w:bCs/>
              </w:rPr>
              <w:t xml:space="preserve">Total</w:t>
            </w:r>
          </w:p>
        </w:tc>
        <w:tc>
          <w:tcPr/>
          <w:p>
            <w:pPr>
              <w:pStyle w:val="Compact"/>
            </w:pPr>
            <w:r>
              <w:rPr>
                <w:b/>
                <w:bCs/>
              </w:rPr>
              <w:t xml:space="preserve">$3,716M</w:t>
            </w:r>
          </w:p>
        </w:tc>
        <w:tc>
          <w:tcPr/>
          <w:p>
            <w:pPr>
              <w:pStyle w:val="Compact"/>
            </w:pPr>
            <w:r>
              <w:rPr>
                <w:b/>
                <w:bCs/>
              </w:rPr>
              <w:t xml:space="preserve">$346M seg</w:t>
            </w:r>
          </w:p>
        </w:tc>
        <w:tc>
          <w:tcPr/>
          <w:p>
            <w:pPr>
              <w:pStyle w:val="Compact"/>
            </w:pPr>
            <w:r>
              <w:rPr>
                <w:b/>
                <w:bCs/>
              </w:rPr>
              <w:t xml:space="preserve">Adj EPS $1.55 / GAAP $1.35</w:t>
            </w:r>
          </w:p>
        </w:tc>
      </w:tr>
    </w:tbl>
    <w:p>
      <w:pPr>
        <w:pStyle w:val="BodyText"/>
      </w:pPr>
      <w:r>
        <w:t xml:space="preserve">Q2 is seasonally Aviation's</w:t>
      </w:r>
      <w:r>
        <w:t xml:space="preserve"> </w:t>
      </w:r>
      <w:r>
        <w:rPr>
          <w:b/>
          <w:bCs/>
        </w:rPr>
        <w:t xml:space="preserve">biggest jet-delivery quarter</w:t>
      </w:r>
      <w:r>
        <w:t xml:space="preserve"> </w:t>
      </w:r>
      <w:r>
        <w:t xml:space="preserve">(49 jets last year vs 37 in Q1), so watch for the sequential step-up. Beating last year's $1.55 adjusted EPS is the number that frames the "growth story intact" narrative.</w:t>
      </w:r>
    </w:p>
    <w:p>
      <w:r>
        <w:pict>
          <v:rect style="width:0;height:1.5pt" o:hralign="center" o:hrstd="t" o:hr="t"/>
        </w:pict>
      </w:r>
    </w:p>
    <w:bookmarkEnd w:id="12"/>
    <w:bookmarkStart w:id="13" w:name="X20fc775f0b01ce65119bb95adc6524676545b62"/>
    <w:p>
      <w:pPr>
        <w:pStyle w:val="Heading2"/>
      </w:pPr>
      <w:r>
        <w:t xml:space="preserve">3. What I'm watching most</w:t>
      </w:r>
    </w:p>
    <w:p>
      <w:pPr>
        <w:pStyle w:val="FirstParagraph"/>
      </w:pPr>
      <w:r>
        <w:rPr>
          <w:b/>
          <w:bCs/>
        </w:rPr>
        <w:t xml:space="preserve">a) Guidance — will they raise?</w:t>
      </w:r>
      <w:r>
        <w:t xml:space="preserve"> </w:t>
      </w:r>
      <w:r>
        <w:t xml:space="preserve">The standing FY2026 outlook is</w:t>
      </w:r>
      <w:r>
        <w:t xml:space="preserve"> </w:t>
      </w:r>
      <w:r>
        <w:rPr>
          <w:b/>
          <w:bCs/>
        </w:rPr>
        <w:t xml:space="preserve">adjusted EPS</w:t>
      </w:r>
      <w:r>
        <w:rPr>
          <w:b/>
          <w:bCs/>
        </w:rPr>
        <w:t xml:space="preserve"> </w:t>
      </w:r>
      <m:oMath>
        <m:r>
          <m:t>6.40</m:t>
        </m:r>
        <m:r>
          <m:rPr>
            <m:sty m:val="p"/>
          </m:rPr>
          <m:t>–</m:t>
        </m:r>
      </m:oMath>
      <w:r>
        <w:rPr>
          <w:b/>
          <w:bCs/>
        </w:rPr>
        <w:t xml:space="preserve">6.60</w:t>
      </w:r>
      <w:r>
        <w:t xml:space="preserve"> </w:t>
      </w:r>
      <w:r>
        <w:t xml:space="preserve">(GAAP</w:t>
      </w:r>
      <w:r>
        <w:t xml:space="preserve"> </w:t>
      </w:r>
      <m:oMath>
        <m:r>
          <m:t>5.39</m:t>
        </m:r>
        <m:r>
          <m:rPr>
            <m:sty m:val="p"/>
          </m:rPr>
          <m:t>–</m:t>
        </m:r>
      </m:oMath>
      <w:r>
        <w:t xml:space="preserve">5.59) and</w:t>
      </w:r>
      <w:r>
        <w:t xml:space="preserve"> </w:t>
      </w:r>
      <w:r>
        <w:rPr>
          <w:b/>
          <w:bCs/>
        </w:rPr>
        <w:t xml:space="preserve">manufacturing cash flow before pension of</w:t>
      </w:r>
      <w:r>
        <w:rPr>
          <w:b/>
          <w:bCs/>
        </w:rPr>
        <w:t xml:space="preserve"> </w:t>
      </w:r>
      <m:oMath>
        <m:r>
          <m:t>700</m:t>
        </m:r>
        <m:r>
          <m:t>M</m:t>
        </m:r>
        <m:r>
          <m:rPr>
            <m:sty m:val="p"/>
          </m:rPr>
          <m:t>–</m:t>
        </m:r>
      </m:oMath>
      <w:r>
        <w:rPr>
          <w:b/>
          <w:bCs/>
        </w:rPr>
        <w:t xml:space="preserve">800M</w:t>
      </w:r>
      <w:r>
        <w:t xml:space="preserve"> </w:t>
      </w:r>
      <w:r>
        <w:t xml:space="preserve">(on ~$650M capex). On the Q1 call CEO Lisa Atherton said it was "a little early" but that "if we continue to see strong performance, we'll evaluate." With Q1 already delivering</w:t>
      </w:r>
      <w:r>
        <w:t xml:space="preserve"> </w:t>
      </w:r>
      <m:oMath>
        <m:r>
          <m:t>1.45</m:t>
        </m:r>
        <m:r>
          <m:rPr>
            <m:sty m:val="p"/>
          </m:rPr>
          <m:t>,</m:t>
        </m:r>
        <m:r>
          <m:t>a</m:t>
        </m:r>
        <m:r>
          <m:t>g</m:t>
        </m:r>
        <m:r>
          <m:t>u</m:t>
        </m:r>
        <m:r>
          <m:t>i</m:t>
        </m:r>
        <m:r>
          <m:t>d</m:t>
        </m:r>
        <m:r>
          <m:t>e</m:t>
        </m:r>
        <m:r>
          <m:t>r</m:t>
        </m:r>
        <m:r>
          <m:t>a</m:t>
        </m:r>
        <m:r>
          <m:t>i</m:t>
        </m:r>
        <m:r>
          <m:t>s</m:t>
        </m:r>
        <m:r>
          <m:t>e</m:t>
        </m:r>
        <m:r>
          <m:rPr>
            <m:sty m:val="p"/>
          </m:rPr>
          <m:t>(</m:t>
        </m:r>
        <m:r>
          <m:t>o</m:t>
        </m:r>
        <m:r>
          <m:t>r</m:t>
        </m:r>
        <m:r>
          <m:t>a</m:t>
        </m:r>
        <m:r>
          <m:t>t</m:t>
        </m:r>
        <m:r>
          <m:t>l</m:t>
        </m:r>
        <m:r>
          <m:t>e</m:t>
        </m:r>
        <m:r>
          <m:t>a</m:t>
        </m:r>
        <m:r>
          <m:t>s</m:t>
        </m:r>
        <m:r>
          <m:t>t</m:t>
        </m:r>
        <m:r>
          <m:t>a</m:t>
        </m:r>
        <m:r>
          <m:t>r</m:t>
        </m:r>
        <m:r>
          <m:t>a</m:t>
        </m:r>
        <m:r>
          <m:t>i</m:t>
        </m:r>
        <m:r>
          <m:t>s</m:t>
        </m:r>
        <m:r>
          <m:t>e</m:t>
        </m:r>
        <m:r>
          <m:t>t</m:t>
        </m:r>
        <m:r>
          <m:t>o</m:t>
        </m:r>
        <m:r>
          <m:t>t</m:t>
        </m:r>
        <m:r>
          <m:t>h</m:t>
        </m:r>
        <m:r>
          <m:t>e</m:t>
        </m:r>
        <m:r>
          <m:t>l</m:t>
        </m:r>
        <m:r>
          <m:t>o</m:t>
        </m:r>
        <m:r>
          <m:t>w</m:t>
        </m:r>
        <m:r>
          <m:t>e</m:t>
        </m:r>
        <m:r>
          <m:t>n</m:t>
        </m:r>
        <m:r>
          <m:t>d</m:t>
        </m:r>
        <m:r>
          <m:rPr>
            <m:sty m:val="p"/>
          </m:rPr>
          <m:t>)</m:t>
        </m:r>
        <m:r>
          <m:t>i</m:t>
        </m:r>
        <m:r>
          <m:t>s</m:t>
        </m:r>
        <m:r>
          <m:t>t</m:t>
        </m:r>
        <m:r>
          <m:t>h</m:t>
        </m:r>
        <m:r>
          <m:t>e</m:t>
        </m:r>
        <m:r>
          <m:t>k</m:t>
        </m:r>
        <m:r>
          <m:t>e</m:t>
        </m:r>
        <m:r>
          <m:t>y</m:t>
        </m:r>
        <m:r>
          <m:t>c</m:t>
        </m:r>
        <m:r>
          <m:t>a</m:t>
        </m:r>
        <m:r>
          <m:t>t</m:t>
        </m:r>
        <m:r>
          <m:t>a</m:t>
        </m:r>
        <m:r>
          <m:t>l</m:t>
        </m:r>
        <m:r>
          <m:t>y</m:t>
        </m:r>
        <m:r>
          <m:t>s</m:t>
        </m:r>
        <m:r>
          <m:t>t</m:t>
        </m:r>
        <m:r>
          <m:rPr>
            <m:sty m:val="p"/>
          </m:rPr>
          <m:t>.</m:t>
        </m:r>
        <m:r>
          <m:t>N</m:t>
        </m:r>
        <m:r>
          <m:t>o</m:t>
        </m:r>
        <m:r>
          <m:t>t</m:t>
        </m:r>
        <m:r>
          <m:t>e</m:t>
        </m:r>
        <m:r>
          <m:t>t</m:t>
        </m:r>
        <m:r>
          <m:t>h</m:t>
        </m:r>
        <m:r>
          <m:t>e</m:t>
        </m:r>
        <m:r>
          <m:t>c</m:t>
        </m:r>
        <m:r>
          <m:t>a</m:t>
        </m:r>
        <m:r>
          <m:t>s</m:t>
        </m:r>
        <m:r>
          <m:t>h</m:t>
        </m:r>
        <m:r>
          <m:t>g</m:t>
        </m:r>
        <m:r>
          <m:t>u</m:t>
        </m:r>
        <m:r>
          <m:t>i</m:t>
        </m:r>
        <m:r>
          <m:t>d</m:t>
        </m:r>
        <m:r>
          <m:t>e</m:t>
        </m:r>
        <m:r>
          <m:t>i</m:t>
        </m:r>
        <m:r>
          <m:t>m</m:t>
        </m:r>
        <m:r>
          <m:t>p</m:t>
        </m:r>
        <m:r>
          <m:t>l</m:t>
        </m:r>
        <m:r>
          <m:t>i</m:t>
        </m:r>
        <m:r>
          <m:t>e</m:t>
        </m:r>
        <m:r>
          <m:t>s</m:t>
        </m:r>
        <m:r>
          <m:t>a</m:t>
        </m:r>
        <m:r>
          <m:t>v</m:t>
        </m:r>
        <m:r>
          <m:t>e</m:t>
        </m:r>
        <m:r>
          <m:t>r</m:t>
        </m:r>
        <m:r>
          <m:t>y</m:t>
        </m:r>
        <m:r>
          <m:rPr>
            <m:sty m:val="p"/>
          </m:rPr>
          <m:t>*</m:t>
        </m:r>
        <m:r>
          <m:rPr>
            <m:sty m:val="p"/>
          </m:rPr>
          <m:t>*</m:t>
        </m:r>
        <m:r>
          <m:t>H</m:t>
        </m:r>
        <m:r>
          <m:t>2</m:t>
        </m:r>
        <m:r>
          <m:rPr>
            <m:sty m:val="p"/>
          </m:rPr>
          <m:t>−</m:t>
        </m:r>
        <m:r>
          <m:t>w</m:t>
        </m:r>
        <m:r>
          <m:t>e</m:t>
        </m:r>
        <m:r>
          <m:t>i</m:t>
        </m:r>
        <m:r>
          <m:t>g</m:t>
        </m:r>
        <m:r>
          <m:t>h</m:t>
        </m:r>
        <m:r>
          <m:t>t</m:t>
        </m:r>
        <m:r>
          <m:t>e</m:t>
        </m:r>
        <m:r>
          <m:t>d</m:t>
        </m:r>
        <m:r>
          <m:t>c</m:t>
        </m:r>
        <m:r>
          <m:t>a</m:t>
        </m:r>
        <m:r>
          <m:t>s</m:t>
        </m:r>
        <m:r>
          <m:t>h</m:t>
        </m:r>
        <m:r>
          <m:t>r</m:t>
        </m:r>
        <m:r>
          <m:t>a</m:t>
        </m:r>
        <m:r>
          <m:t>m</m:t>
        </m:r>
        <m:r>
          <m:t>p</m:t>
        </m:r>
        <m:r>
          <m:rPr>
            <m:sty m:val="p"/>
          </m:rPr>
          <m:t>*</m:t>
        </m:r>
        <m:r>
          <m:rPr>
            <m:sty m:val="p"/>
          </m:rPr>
          <m:t>*</m:t>
        </m:r>
        <m:r>
          <m:rPr>
            <m:sty m:val="p"/>
          </m:rPr>
          <m:t>—</m:t>
        </m:r>
        <m:r>
          <m:t>H</m:t>
        </m:r>
        <m:r>
          <m:t>1</m:t>
        </m:r>
        <m:r>
          <m:t>i</m:t>
        </m:r>
        <m:r>
          <m:t>s</m:t>
        </m:r>
        <m:r>
          <m:t>s</m:t>
        </m:r>
        <m:r>
          <m:t>e</m:t>
        </m:r>
        <m:r>
          <m:t>a</m:t>
        </m:r>
        <m:r>
          <m:t>s</m:t>
        </m:r>
        <m:r>
          <m:t>o</m:t>
        </m:r>
        <m:r>
          <m:t>n</m:t>
        </m:r>
        <m:r>
          <m:t>a</m:t>
        </m:r>
        <m:r>
          <m:t>l</m:t>
        </m:r>
        <m:r>
          <m:t>l</m:t>
        </m:r>
        <m:r>
          <m:t>y</m:t>
        </m:r>
        <m:r>
          <m:t>a</m:t>
        </m:r>
        <m:r>
          <m:t>u</m:t>
        </m:r>
        <m:r>
          <m:t>s</m:t>
        </m:r>
        <m:r>
          <m:t>e</m:t>
        </m:r>
        <m:r>
          <m:t>o</m:t>
        </m:r>
        <m:r>
          <m:t>f</m:t>
        </m:r>
        <m:r>
          <m:t>c</m:t>
        </m:r>
        <m:r>
          <m:t>a</m:t>
        </m:r>
        <m:r>
          <m:t>s</m:t>
        </m:r>
        <m:r>
          <m:t>h</m:t>
        </m:r>
        <m:r>
          <m:rPr>
            <m:sty m:val="p"/>
          </m:rPr>
          <m:t>(</m:t>
        </m:r>
        <m:r>
          <m:t>Q</m:t>
        </m:r>
        <m:r>
          <m:t>1</m:t>
        </m:r>
        <m:r>
          <m:t>w</m:t>
        </m:r>
        <m:r>
          <m:t>a</m:t>
        </m:r>
        <m:r>
          <m:t>s</m:t>
        </m:r>
        <m:r>
          <m:rPr>
            <m:sty m:val="p"/>
          </m:rPr>
          <m:t>–</m:t>
        </m:r>
      </m:oMath>
      <w:r>
        <w:t xml:space="preserve">228M), so don't panic on a soft first-half cash number.</w:t>
      </w:r>
    </w:p>
    <w:p>
      <w:pPr>
        <w:pStyle w:val="BodyText"/>
      </w:pPr>
      <w:r>
        <w:rPr>
          <w:b/>
          <w:bCs/>
        </w:rPr>
        <w:t xml:space="preserve">b) Industrial separation update</w:t>
      </w:r>
      <w:r>
        <w:t xml:space="preserve"> </w:t>
      </w:r>
      <w:r>
        <w:t xml:space="preserve">In April, management targeted</w:t>
      </w:r>
      <w:r>
        <w:t xml:space="preserve"> </w:t>
      </w:r>
      <w:r>
        <w:rPr>
          <w:b/>
          <w:bCs/>
        </w:rPr>
        <w:t xml:space="preserve">completion within 12–18 months</w:t>
      </w:r>
      <w:r>
        <w:t xml:space="preserve"> </w:t>
      </w:r>
      <w:r>
        <w:t xml:space="preserve">and said it was exploring</w:t>
      </w:r>
      <w:r>
        <w:t xml:space="preserve"> </w:t>
      </w:r>
      <w:r>
        <w:rPr>
          <w:b/>
          <w:bCs/>
        </w:rPr>
        <w:t xml:space="preserve">both a sale and a tax-free spin</w:t>
      </w:r>
      <w:r>
        <w:t xml:space="preserve"> </w:t>
      </w:r>
      <w:r>
        <w:t xml:space="preserve">of Kautex + Textron Specialized Vehicles (could be sold together or separately). Investors will want: progress signals, whether a sale vs. spin lean is emerging, and confirmation that dilution/tax leakage and stranded costs are "manageable." Management framed New Textron as a ~</w:t>
      </w:r>
      <m:oMath>
        <m:r>
          <m:t>12</m:t>
        </m:r>
        <m:r>
          <m:t>B</m:t>
        </m:r>
        <m:r>
          <m:t>r</m:t>
        </m:r>
        <m:r>
          <m:t>e</m:t>
        </m:r>
        <m:r>
          <m:t>v</m:t>
        </m:r>
        <m:r>
          <m:t>e</m:t>
        </m:r>
        <m:r>
          <m:t>n</m:t>
        </m:r>
        <m:r>
          <m:t>u</m:t>
        </m:r>
        <m:r>
          <m:t>e</m:t>
        </m:r>
        <m:r>
          <m:rPr>
            <m:sty m:val="p"/>
          </m:rPr>
          <m:t>/</m:t>
        </m:r>
        <m:r>
          <m:t> </m:t>
        </m:r>
      </m:oMath>
      <w:r>
        <w:t xml:space="preserve">1.2B segment-profit A&amp;D pure-play with **~150bps higher growth, ~120bps higher margin, and a $19.2B backlog that is 100% A&amp;D**. This is the re-rating thesis; any timeline slippage is the main risk to it.</w:t>
      </w:r>
    </w:p>
    <w:p>
      <w:pPr>
        <w:pStyle w:val="BodyText"/>
      </w:pPr>
      <w:r>
        <w:rPr>
          <w:b/>
          <w:bCs/>
        </w:rPr>
        <w:t xml:space="preserve">c) MV-75 Cheyenne (Bell) — funding and the coming charge</w:t>
      </w:r>
      <w:r>
        <w:t xml:space="preserve"> </w:t>
      </w:r>
      <w:r>
        <w:t xml:space="preserve">Two threads: (1) The Army is</w:t>
      </w:r>
      <w:r>
        <w:t xml:space="preserve"> </w:t>
      </w:r>
      <w:r>
        <w:rPr>
          <w:b/>
          <w:bCs/>
        </w:rPr>
        <w:t xml:space="preserve">actively pursuing incremental FY26 funding</w:t>
      </w:r>
      <w:r>
        <w:t xml:space="preserve"> </w:t>
      </w:r>
      <w:r>
        <w:t xml:space="preserve">to support acceleration; confirmation of that money flowing through would be a positive. (2) Management has flagged a</w:t>
      </w:r>
      <w:r>
        <w:t xml:space="preserve"> </w:t>
      </w:r>
      <w:r>
        <w:rPr>
          <w:b/>
          <w:bCs/>
        </w:rPr>
        <w:t xml:space="preserve">cumulative catch-up charge of</w:t>
      </w:r>
      <w:r>
        <w:rPr>
          <w:b/>
          <w:bCs/>
        </w:rPr>
        <w:t xml:space="preserve"> </w:t>
      </w:r>
      <m:oMath>
        <m:r>
          <m:t>60</m:t>
        </m:r>
        <m:r>
          <m:t>M</m:t>
        </m:r>
        <m:r>
          <m:rPr>
            <m:sty m:val="p"/>
          </m:rPr>
          <m:t>–</m:t>
        </m:r>
      </m:oMath>
      <w:r>
        <w:rPr>
          <w:b/>
          <w:bCs/>
        </w:rPr>
        <w:t xml:space="preserve">110M</w:t>
      </w:r>
      <w:r>
        <w:t xml:space="preserve"> </w:t>
      </w:r>
      <w:r>
        <w:t xml:space="preserve">on the LRIP CLIN, which could hit</w:t>
      </w:r>
      <w:r>
        <w:t xml:space="preserve"> </w:t>
      </w:r>
      <w:r>
        <w:rPr>
          <w:b/>
          <w:bCs/>
        </w:rPr>
        <w:t xml:space="preserve">as early as 2H 2026</w:t>
      </w:r>
      <w:r>
        <w:t xml:space="preserve">. If it lands this quarter it will distort Bell segment profit — investors should look through it. The FY2027 defense budget (MV-75 scaling from $2.3B in FY27 toward $3.8B by FY31) underpins the long-term Bell growth case.</w:t>
      </w:r>
    </w:p>
    <w:p>
      <w:pPr>
        <w:pStyle w:val="BodyText"/>
      </w:pPr>
      <w:r>
        <w:rPr>
          <w:b/>
          <w:bCs/>
        </w:rPr>
        <w:t xml:space="preserve">d) Aviation margin cadence and supply chain</w:t>
      </w:r>
      <w:r>
        <w:t xml:space="preserve"> </w:t>
      </w:r>
      <w:r>
        <w:t xml:space="preserve">Q1 margin (10.4%) ran ~100bps below the guide midpoint as prior-year inefficiencies rolled through. Management guided to</w:t>
      </w:r>
      <w:r>
        <w:t xml:space="preserve"> </w:t>
      </w:r>
      <w:r>
        <w:rPr>
          <w:b/>
          <w:bCs/>
        </w:rPr>
        <w:t xml:space="preserve">sequential margin improvement each quarter, peaking in Q4</w:t>
      </w:r>
      <w:r>
        <w:t xml:space="preserve">, with deliveries rising quarterly toward a **~200 jets/year** run-rate. Watch order/backlog momentum (Q1 had the best Q1 bookings since 2022), 10%+ aftermarket growth, and any commentary on</w:t>
      </w:r>
      <w:r>
        <w:t xml:space="preserve"> </w:t>
      </w:r>
      <w:r>
        <w:rPr>
          <w:b/>
          <w:bCs/>
        </w:rPr>
        <w:t xml:space="preserve">engine supply</w:t>
      </w:r>
      <w:r>
        <w:t xml:space="preserve"> </w:t>
      </w:r>
      <w:r>
        <w:t xml:space="preserve">(still the pinch point, though improving).</w:t>
      </w:r>
    </w:p>
    <w:p>
      <w:pPr>
        <w:pStyle w:val="BodyText"/>
      </w:pPr>
      <w:r>
        <w:rPr>
          <w:b/>
          <w:bCs/>
        </w:rPr>
        <w:t xml:space="preserve">e) Bell margin recovery</w:t>
      </w:r>
      <w:r>
        <w:t xml:space="preserve"> </w:t>
      </w:r>
      <w:r>
        <w:t xml:space="preserve">Q1 margin was weak on mix; full-year Bell guide is</w:t>
      </w:r>
      <w:r>
        <w:t xml:space="preserve"> </w:t>
      </w:r>
      <w:r>
        <w:rPr>
          <w:b/>
          <w:bCs/>
        </w:rPr>
        <w:t xml:space="preserve">8–9%</w:t>
      </w:r>
      <w:r>
        <w:t xml:space="preserve">, with commercial deliveries expected to normalize and peak in Q4. Sequential improvement is expected — a flat/down Q2 would raise questions.</w:t>
      </w:r>
    </w:p>
    <w:p>
      <w:pPr>
        <w:pStyle w:val="BodyText"/>
      </w:pPr>
      <w:r>
        <w:rPr>
          <w:b/>
          <w:bCs/>
        </w:rPr>
        <w:t xml:space="preserve">f) Capital returns</w:t>
      </w:r>
      <w:r>
        <w:t xml:space="preserve"> </w:t>
      </w:r>
      <w:r>
        <w:t xml:space="preserve">TXT repurchased</w:t>
      </w:r>
      <w:r>
        <w:t xml:space="preserve"> </w:t>
      </w:r>
      <w:r>
        <w:rPr>
          <w:b/>
          <w:bCs/>
        </w:rPr>
        <w:t xml:space="preserve">$168M</w:t>
      </w:r>
      <w:r>
        <w:t xml:space="preserve"> </w:t>
      </w:r>
      <w:r>
        <w:t xml:space="preserve">(~1.8M shares) in Q1 and continues to shrink the share count (176M diluted vs 184M a year ago), a steady tailwind to EPS. Buyback pace and any capital-allocation framing ahead of the separation are worth noting.</w:t>
      </w:r>
    </w:p>
    <w:p>
      <w:r>
        <w:pict>
          <v:rect style="width:0;height:1.5pt" o:hralign="center" o:hrstd="t" o:hr="t"/>
        </w:pict>
      </w:r>
    </w:p>
    <w:bookmarkEnd w:id="13"/>
    <w:bookmarkStart w:id="14" w:name="X5a8156bb4b974b2abd5c876b0614c7fa7c9a2aa"/>
    <w:p>
      <w:pPr>
        <w:pStyle w:val="Heading2"/>
      </w:pPr>
      <w:r>
        <w:t xml:space="preserve">4. Setup and risk/reward</w:t>
      </w:r>
    </w:p>
    <w:p>
      <w:pPr>
        <w:pStyle w:val="Compact"/>
        <w:numPr>
          <w:ilvl w:val="0"/>
          <w:numId w:val="1002"/>
        </w:numPr>
      </w:pPr>
      <w:r>
        <w:rPr>
          <w:b/>
          <w:bCs/>
        </w:rPr>
        <w:t xml:space="preserve">Price action</w:t>
      </w:r>
      <w:r>
        <w:t xml:space="preserve">: ~</w:t>
      </w:r>
      <m:oMath>
        <m:r>
          <m:t>96</m:t>
        </m:r>
        <m:r>
          <m:rPr>
            <m:sty m:val="p"/>
          </m:rPr>
          <m:t>,</m:t>
        </m:r>
        <m:r>
          <m:t>u</m:t>
        </m:r>
        <m:r>
          <m:t>p</m:t>
        </m:r>
        <m:r>
          <m:t>10.5</m:t>
        </m:r>
      </m:oMath>
      <w:r>
        <w:t xml:space="preserve">101). Notably, the stock</w:t>
      </w:r>
      <w:r>
        <w:t xml:space="preserve"> </w:t>
      </w:r>
      <w:r>
        <w:rPr>
          <w:b/>
          <w:bCs/>
        </w:rPr>
        <w:t xml:space="preserve">fell ~8% on the January (Q4 2025) print</w:t>
      </w:r>
      <w:r>
        <w:t xml:space="preserve"> </w:t>
      </w:r>
      <w:r>
        <w:t xml:space="preserve">but</w:t>
      </w:r>
      <w:r>
        <w:t xml:space="preserve"> </w:t>
      </w:r>
      <w:r>
        <w:rPr>
          <w:b/>
          <w:bCs/>
        </w:rPr>
        <w:t xml:space="preserve">jumped ~7% on the April separation news</w:t>
      </w:r>
      <w:r>
        <w:t xml:space="preserve"> </w:t>
      </w:r>
      <w:r>
        <w:t xml:space="preserve">— this name trades on narrative catalysts, not just the EPS number.</w:t>
      </w:r>
    </w:p>
    <w:p>
      <w:pPr>
        <w:pStyle w:val="Compact"/>
        <w:numPr>
          <w:ilvl w:val="0"/>
          <w:numId w:val="1002"/>
        </w:numPr>
      </w:pPr>
      <w:r>
        <w:rPr>
          <w:b/>
          <w:bCs/>
        </w:rPr>
        <w:t xml:space="preserve">Bull case for the reaction</w:t>
      </w:r>
      <w:r>
        <w:t xml:space="preserve">: guide raise + separation timeline confirmation + Aviation deliveries/backlog strength → continuation of the re-rate toward a cleaner A&amp;D multiple.</w:t>
      </w:r>
    </w:p>
    <w:p>
      <w:pPr>
        <w:pStyle w:val="Compact"/>
        <w:numPr>
          <w:ilvl w:val="0"/>
          <w:numId w:val="1002"/>
        </w:numPr>
      </w:pPr>
      <w:r>
        <w:rPr>
          <w:b/>
          <w:bCs/>
        </w:rPr>
        <w:t xml:space="preserve">Bear/risk case</w:t>
      </w:r>
      <w:r>
        <w:t xml:space="preserve">: the ~7% pre-print run-up sets a higher bar; a Bell LRIP charge, soft H1 cash, no guidance raise, or any hint of separation delay could trigger profit-taking.</w:t>
      </w:r>
    </w:p>
    <w:p>
      <w:pPr>
        <w:pStyle w:val="FirstParagraph"/>
      </w:pPr>
      <w:r>
        <w:rPr>
          <w:b/>
          <w:bCs/>
        </w:rPr>
        <w:t xml:space="preserve">Bottom line:</w:t>
      </w:r>
      <w:r>
        <w:t xml:space="preserve"> </w:t>
      </w:r>
      <w:r>
        <w:t xml:space="preserve">The quarter itself is likely fine-to-good given Q1 momentum and seasonally strong jet deliveries. The share reaction will hinge less on the printed EPS and more on the</w:t>
      </w:r>
      <w:r>
        <w:t xml:space="preserve"> </w:t>
      </w:r>
      <w:r>
        <w:rPr>
          <w:b/>
          <w:bCs/>
        </w:rPr>
        <w:t xml:space="preserve">guidance move and Industrial-separation progress</w:t>
      </w:r>
      <w:r>
        <w:t xml:space="preserve"> </w:t>
      </w:r>
      <w:r>
        <w:t xml:space="preserve">— the two levers management explicitly left open in April.</w:t>
      </w:r>
    </w:p>
    <w:p>
      <w:pPr>
        <w:pStyle w:val="BodyText"/>
      </w:pPr>
      <w:r>
        <w:rPr>
          <w:i/>
          <w:iCs/>
        </w:rPr>
        <w:t xml:space="preserve">Note: I was unable to retrieve a current sell-side consensus figure for Q2, so treat the year-ago $1.55 adjusted EPS and the</w:t>
      </w:r>
      <w:r>
        <w:rPr>
          <w:i/>
          <w:iCs/>
        </w:rPr>
        <w:t xml:space="preserve"> </w:t>
      </w:r>
      <m:oMath>
        <m:r>
          <m:t>6.40</m:t>
        </m:r>
        <m:r>
          <m:rPr>
            <m:sty m:val="p"/>
          </m:rPr>
          <m:t>–</m:t>
        </m:r>
      </m:oMath>
      <w:r>
        <w:rPr>
          <w:i/>
          <w:iCs/>
        </w:rPr>
        <w:t xml:space="preserve">6.60 full-year guide as the reference points rather than a formal Street estimate.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2026-07-28T00:06:31Z</dcterms:created>
  <dcterms:modified xsi:type="dcterms:W3CDTF">2026-07-28T00:06:31Z</dcterms:modified>
</cp:coreProperties>
</file>

<file path=docProps/custom.xml><?xml version="1.0" encoding="utf-8"?>
<Properties xmlns="http://schemas.openxmlformats.org/officeDocument/2006/custom-properties" xmlns:vt="http://schemas.openxmlformats.org/officeDocument/2006/docPropsVTypes"/>
</file>