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xt-earnings-predictions--2026-07-28"/>
    <w:p>
      <w:pPr>
        <w:pStyle w:val="Heading1"/>
      </w:pPr>
      <w:r>
        <w:t xml:space="preserve">TXT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~$3.80B vs. cons $3.83B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~$1.51 vs. cons $1.54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Textron Aviation Segment Profit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~$172M vs. cons $185M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~$6.50 (midpoint, reaffirmed</w:t>
            </w:r>
            <w:r>
              <w:t xml:space="preserve"> </w:t>
            </w:r>
            <m:oMath>
              <m:r>
                <m:t>6.40</m:t>
              </m:r>
              <m:r>
                <m:rPr>
                  <m:sty m:val="p"/>
                </m:rPr>
                <m:t>−</m:t>
              </m:r>
            </m:oMath>
            <w:r>
              <w:t xml:space="preserve">6.60) vs. cons $6.51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Manufacturing Cash Flow (pre-pension)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~$750M (midpoint, reaffirmed $700-800M) vs. cons $760M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Industrial Separation Timeline/Process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~12-18 months (sale or tax-free spin, unchanged) vs. cons 12-18 months (through mid-2027)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-1.1% (STABILIZE)</w:t>
            </w:r>
          </w:p>
        </w:tc>
        <w:tc>
          <w:tcPr/>
          <w:p>
            <w:pPr>
              <w:pStyle w:val="Compact"/>
            </w:pPr>
            <w:r>
              <w:t xml:space="preserve">With a 0% Earnings ESP heading in, a modest EPS/Aviation-margin miss is largely pre-anticipated rather than a fresh negative surprise, limiting the scope for aggressive downward estimate revisions. Reaffirmed FY2026 EPS and cash-flow guidance (unchanged ranges) removes the main out-period cut risk that would otherwise compound a day-1 selloff, while ongoing separation-process optionality and MV-75/backlog strength provide offsetting positive catalysts that analysts will weigh against the soft print, keeping the stock's idiosyncratic drift roughly flat rather than accelerating lower over the week.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2026-07-28T00:10:10Z</dcterms:created>
  <dcterms:modified xsi:type="dcterms:W3CDTF">2026-07-28T00:10:10Z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