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sufficient detail. Let me now compose the earnings preview.# Textron Inc. (NYSE: TXT) — Q2 2026 Earnings Preview</w:t>
      </w:r>
      <w:r>
        <w:t xml:space="preserve"> </w:t>
      </w:r>
      <w:r>
        <w:rPr>
          <w:b/>
          <w:bCs/>
        </w:rPr>
        <w:t xml:space="preserve">Reports:</w:t>
      </w:r>
      <w:r>
        <w:t xml:space="preserve"> </w:t>
      </w:r>
      <w:r>
        <w:t xml:space="preserve">Tuesday, July 28,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Textron shares have climbed into earnings, closing at</w:t>
      </w:r>
      <w:r>
        <w:t xml:space="preserve"> </w:t>
      </w:r>
      <m:oMath>
        <m:r>
          <m:t>96.15</m:t>
        </m:r>
        <m:r>
          <m:t>o</m:t>
        </m:r>
        <m:r>
          <m:t>n</m:t>
        </m:r>
        <m:r>
          <m:t>J</m:t>
        </m:r>
        <m:r>
          <m:t>u</m:t>
        </m:r>
        <m:r>
          <m:t>l</m:t>
        </m:r>
        <m:r>
          <m:t>y</m:t>
        </m:r>
        <m:r>
          <m:t>24</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88.91</w:t>
      </w:r>
      <w:r>
        <w:t xml:space="preserve"> </w:t>
      </w:r>
      <w:r>
        <w:t xml:space="preserve">at the start of April, and roughly 10% off the June 22 low near</w:t>
      </w:r>
      <w:r>
        <w:t xml:space="preserve"> </w:t>
      </w:r>
      <m:oMath>
        <m:r>
          <m:t>87</m:t>
        </m:r>
        <m:r>
          <m:rPr>
            <m:sty m:val="p"/>
          </m:rPr>
          <m:t>)</m:t>
        </m:r>
        <m:r>
          <m:rPr>
            <m:sty m:val="p"/>
          </m:rPr>
          <m:t>,</m:t>
        </m:r>
        <m:r>
          <m:t>l</m:t>
        </m:r>
        <m:r>
          <m:t>e</m:t>
        </m:r>
        <m:r>
          <m:t>a</m:t>
        </m:r>
        <m:r>
          <m:t>v</m:t>
        </m:r>
        <m:r>
          <m:t>i</m:t>
        </m:r>
        <m:r>
          <m:t>n</m:t>
        </m:r>
        <m:r>
          <m:t>g</m:t>
        </m:r>
        <m:r>
          <m:t>t</m:t>
        </m:r>
        <m:r>
          <m:t>h</m:t>
        </m:r>
        <m:r>
          <m:t>e</m:t>
        </m:r>
        <m:r>
          <m:t>s</m:t>
        </m:r>
        <m:r>
          <m:t>t</m:t>
        </m:r>
        <m:r>
          <m:t>o</m:t>
        </m:r>
        <m:r>
          <m:t>c</m:t>
        </m:r>
        <m:r>
          <m:t>k</m:t>
        </m:r>
        <m:r>
          <m:t>n</m:t>
        </m:r>
        <m:r>
          <m:t>e</m:t>
        </m:r>
        <m:r>
          <m:t>a</m:t>
        </m:r>
        <m:r>
          <m:t>r</m:t>
        </m:r>
        <m:r>
          <m:t>52</m:t>
        </m:r>
        <m:r>
          <m:rPr>
            <m:sty m:val="p"/>
          </m:rPr>
          <m:t>−</m:t>
        </m:r>
        <m:r>
          <m:t>w</m:t>
        </m:r>
        <m:r>
          <m:t>e</m:t>
        </m:r>
        <m:r>
          <m:t>e</m:t>
        </m:r>
        <m:r>
          <m:t>k</m:t>
        </m:r>
        <m:r>
          <m:t>h</m:t>
        </m:r>
        <m:r>
          <m:t>i</m:t>
        </m:r>
        <m:r>
          <m:t>g</m:t>
        </m:r>
        <m:r>
          <m:t>h</m:t>
        </m:r>
        <m:r>
          <m:t>s</m:t>
        </m:r>
        <m:r>
          <m:rPr>
            <m:sty m:val="p"/>
          </m:rPr>
          <m:t>.</m:t>
        </m:r>
        <m:r>
          <m:t>T</m:t>
        </m:r>
        <m:r>
          <m:t>h</m:t>
        </m:r>
        <m:r>
          <m:t>e</m:t>
        </m:r>
        <m:r>
          <m:t>a</m:t>
        </m:r>
        <m:r>
          <m:t>v</m:t>
        </m:r>
        <m:r>
          <m:t>e</m:t>
        </m:r>
        <m:r>
          <m:t>r</m:t>
        </m:r>
        <m:r>
          <m:t>a</m:t>
        </m:r>
        <m:r>
          <m:t>g</m:t>
        </m:r>
        <m:r>
          <m:t>e</m:t>
        </m:r>
        <m:r>
          <m:t>s</m:t>
        </m:r>
        <m:r>
          <m:t>e</m:t>
        </m:r>
        <m:r>
          <m:t>l</m:t>
        </m:r>
        <m:r>
          <m:t>l</m:t>
        </m:r>
        <m:r>
          <m:rPr>
            <m:sty m:val="p"/>
          </m:rPr>
          <m:t>−</m:t>
        </m:r>
        <m:r>
          <m:t>s</m:t>
        </m:r>
        <m:r>
          <m:t>i</m:t>
        </m:r>
        <m:r>
          <m:t>d</m:t>
        </m:r>
        <m:r>
          <m:t>e</m:t>
        </m:r>
        <m:r>
          <m:t>p</m:t>
        </m:r>
        <m:r>
          <m:t>r</m:t>
        </m:r>
        <m:r>
          <m:t>i</m:t>
        </m:r>
        <m:r>
          <m:t>c</m:t>
        </m:r>
        <m:r>
          <m:t>e</m:t>
        </m:r>
        <m:r>
          <m:t>t</m:t>
        </m:r>
        <m:r>
          <m:t>a</m:t>
        </m:r>
        <m:r>
          <m:t>r</m:t>
        </m:r>
        <m:r>
          <m:t>g</m:t>
        </m:r>
        <m:r>
          <m:t>e</m:t>
        </m:r>
        <m:r>
          <m:t>t</m:t>
        </m:r>
        <m:r>
          <m:t>s</m:t>
        </m:r>
        <m:r>
          <m:t>i</m:t>
        </m:r>
        <m:r>
          <m:t>t</m:t>
        </m:r>
        <m:r>
          <m:t>s</m:t>
        </m:r>
        <m:r>
          <m:t>a</m:t>
        </m:r>
        <m:r>
          <m:t>r</m:t>
        </m:r>
        <m:r>
          <m:t>o</m:t>
        </m:r>
        <m:r>
          <m:t>u</m:t>
        </m:r>
        <m:r>
          <m:t>n</m:t>
        </m:r>
        <m:r>
          <m:t>d</m:t>
        </m:r>
        <m:r>
          <m:rPr>
            <m:sty m:val="p"/>
          </m:rPr>
          <m:t>*</m:t>
        </m:r>
        <m:r>
          <m:rPr>
            <m:sty m:val="p"/>
          </m:rPr>
          <m:t>*</m:t>
        </m:r>
      </m:oMath>
      <w:r>
        <w:t xml:space="preserve">102–105** with a</w:t>
      </w:r>
      <w:r>
        <w:t xml:space="preserve"> </w:t>
      </w:r>
      <w:r>
        <w:rPr>
          <w:b/>
          <w:bCs/>
        </w:rPr>
        <w:t xml:space="preserve">"Moderate Buy"/"Buy"</w:t>
      </w:r>
      <w:r>
        <w:t xml:space="preserve"> </w:t>
      </w:r>
      <w:r>
        <w:t xml:space="preserve">consensus skew (roughly 73% buy ratings across 23 analysts), implying modest additional upside even after the run. TD Cowen recently trimmed its target to</w:t>
      </w:r>
      <w:r>
        <w:t xml:space="preserve"> </w:t>
      </w:r>
      <w:r>
        <w:rPr>
          <w:b/>
          <w:bCs/>
        </w:rPr>
        <w:t xml:space="preserve">$105 from $115</w:t>
      </w:r>
      <w:r>
        <w:t xml:space="preserve"> </w:t>
      </w:r>
      <w:r>
        <w:t xml:space="preserve">while keeping a Buy rating, part of a broader round of estimate-tuning across the sector.</w:t>
      </w:r>
    </w:p>
    <w:p>
      <w:pPr>
        <w:pStyle w:val="BodyText"/>
      </w:pPr>
      <w:r>
        <w:t xml:space="preserve">Consensus for tomorrow's print calls for</w:t>
      </w:r>
      <w:r>
        <w:t xml:space="preserve"> </w:t>
      </w:r>
      <w:r>
        <w:rPr>
          <w:b/>
          <w:bCs/>
        </w:rPr>
        <w:t xml:space="preserve">revenue of roughly</w:t>
      </w:r>
      <w:r>
        <w:rPr>
          <w:b/>
          <w:bCs/>
        </w:rPr>
        <w:t xml:space="preserve"> </w:t>
      </w:r>
      <m:oMath>
        <m:r>
          <m:t>3.82</m:t>
        </m:r>
        <m:r>
          <m:rPr>
            <m:sty m:val="p"/>
          </m:rPr>
          <m:t>–</m:t>
        </m:r>
        <m:r>
          <m:t>3.84</m:t>
        </m:r>
        <m:r>
          <m:t>b</m:t>
        </m:r>
        <m:r>
          <m:t>i</m:t>
        </m:r>
        <m:r>
          <m:t>l</m:t>
        </m:r>
        <m:r>
          <m:t>l</m:t>
        </m:r>
        <m:r>
          <m:t>i</m:t>
        </m:r>
        <m:r>
          <m:t>o</m:t>
        </m:r>
        <m:r>
          <m:t>n</m:t>
        </m:r>
        <m:r>
          <m:rPr>
            <m:sty m:val="p"/>
          </m:rPr>
          <m:t>*</m:t>
        </m:r>
        <m:r>
          <m:rPr>
            <m:sty m:val="p"/>
          </m:rPr>
          <m:t>*</m:t>
        </m:r>
        <m:r>
          <m:rPr>
            <m:sty m:val="p"/>
          </m:rPr>
          <m:t>(</m:t>
        </m:r>
        <m:r>
          <m:t>a</m:t>
        </m:r>
        <m:r>
          <m:t>b</m:t>
        </m:r>
        <m:r>
          <m:t>o</m:t>
        </m:r>
        <m:r>
          <m:t>u</m:t>
        </m:r>
        <m:r>
          <m:t>t</m:t>
        </m:r>
        <m:r>
          <m:rPr>
            <m:sty m:val="p"/>
          </m:rPr>
          <m:t>*</m:t>
        </m:r>
        <m:r>
          <m:rPr>
            <m:sty m:val="p"/>
          </m:rPr>
          <m:t>*</m:t>
        </m:r>
        <m:r>
          <m:rPr>
            <m:sty m:val="p"/>
          </m:rPr>
          <m:t>+</m:t>
        </m:r>
        <m:r>
          <m:t>2.6</m:t>
        </m:r>
      </m:oMath>
      <w:r>
        <w:rPr>
          <w:b/>
          <w:bCs/>
        </w:rPr>
        <w:t xml:space="preserve">1.52–</w:t>
      </w:r>
      <m:oMath>
        <m:r>
          <m:t>1.56</m:t>
        </m:r>
        <m:r>
          <m:rPr>
            <m:sty m:val="p"/>
          </m:rPr>
          <m:t>*</m:t>
        </m:r>
        <m:r>
          <m:rPr>
            <m:sty m:val="p"/>
          </m:rPr>
          <m:t>*</m:t>
        </m:r>
        <m:r>
          <m:rPr>
            <m:sty m:val="p"/>
          </m:rPr>
          <m:t>,</m:t>
        </m:r>
        <m:r>
          <m:t>w</m:t>
        </m:r>
        <m:r>
          <m:t>h</m:t>
        </m:r>
        <m:r>
          <m:t>i</m:t>
        </m:r>
        <m:r>
          <m:t>c</m:t>
        </m:r>
        <m:r>
          <m:t>h</m:t>
        </m:r>
        <m:r>
          <m:t>w</m:t>
        </m:r>
        <m:r>
          <m:t>o</m:t>
        </m:r>
        <m:r>
          <m:t>u</m:t>
        </m:r>
        <m:r>
          <m:t>l</m:t>
        </m:r>
        <m:r>
          <m:t>d</m:t>
        </m:r>
        <m:r>
          <m:t>b</m:t>
        </m:r>
        <m:r>
          <m:t>e</m:t>
        </m:r>
        <m:r>
          <m:t>r</m:t>
        </m:r>
        <m:r>
          <m:t>o</m:t>
        </m:r>
        <m:r>
          <m:t>u</m:t>
        </m:r>
        <m:r>
          <m:t>g</m:t>
        </m:r>
        <m:r>
          <m:t>h</m:t>
        </m:r>
        <m:r>
          <m:t>l</m:t>
        </m:r>
        <m:r>
          <m:t>y</m:t>
        </m:r>
        <m:r>
          <m:t>f</m:t>
        </m:r>
        <m:r>
          <m:t>l</m:t>
        </m:r>
        <m:r>
          <m:t>a</m:t>
        </m:r>
        <m:r>
          <m:t>t</m:t>
        </m:r>
        <m:r>
          <m:t>t</m:t>
        </m:r>
        <m:r>
          <m:t>o</m:t>
        </m:r>
        <m:r>
          <m:t>m</m:t>
        </m:r>
        <m:r>
          <m:t>o</m:t>
        </m:r>
        <m:r>
          <m:t>d</m:t>
        </m:r>
        <m:r>
          <m:t>e</m:t>
        </m:r>
        <m:r>
          <m:t>s</m:t>
        </m:r>
        <m:r>
          <m:t>t</m:t>
        </m:r>
        <m:r>
          <m:t>l</m:t>
        </m:r>
        <m:r>
          <m:t>y</m:t>
        </m:r>
        <m:r>
          <m:t>d</m:t>
        </m:r>
        <m:r>
          <m:t>o</m:t>
        </m:r>
        <m:r>
          <m:t>w</m:t>
        </m:r>
        <m:r>
          <m:t>n</m:t>
        </m:r>
        <m:r>
          <m:t>v</m:t>
        </m:r>
        <m:r>
          <m:t>e</m:t>
        </m:r>
        <m:r>
          <m:t>r</m:t>
        </m:r>
        <m:r>
          <m:t>s</m:t>
        </m:r>
        <m:r>
          <m:t>u</m:t>
        </m:r>
        <m:r>
          <m:t>s</m:t>
        </m:r>
        <m:r>
          <m:t>t</m:t>
        </m:r>
        <m:r>
          <m:t>h</m:t>
        </m:r>
        <m:r>
          <m:t>e</m:t>
        </m:r>
        <m:r>
          <m:rPr>
            <m:sty m:val="p"/>
          </m:rPr>
          <m:t>*</m:t>
        </m:r>
        <m:r>
          <m:rPr>
            <m:sty m:val="p"/>
          </m:rPr>
          <m:t>*</m:t>
        </m:r>
      </m:oMath>
      <w:r>
        <w:rPr>
          <w:b/>
          <w:bCs/>
        </w:rPr>
        <w:t xml:space="preserve">1.55</w:t>
      </w:r>
      <w:r>
        <w:t xml:space="preserve"> </w:t>
      </w:r>
      <w:r>
        <w:t xml:space="preserve">adjusted EPS Textron earned in Q2 2025. Zacks flags a</w:t>
      </w:r>
      <w:r>
        <w:t xml:space="preserve"> </w:t>
      </w:r>
      <w:r>
        <w:rPr>
          <w:b/>
          <w:bCs/>
        </w:rPr>
        <w:t xml:space="preserve">0% Earnings ESP</w:t>
      </w:r>
      <w:r>
        <w:t xml:space="preserve"> </w:t>
      </w:r>
      <w:r>
        <w:t xml:space="preserve">heading in — i.e., no strong quantitative signal pointing to a beat this time, a change from Q1, when Textron beat estimates by double digits.</w:t>
      </w:r>
    </w:p>
    <w:p>
      <w:r>
        <w:pict>
          <v:rect style="width:0;height:1.5pt" o:hralign="center" o:hrstd="t" o:hr="t"/>
        </w:pict>
      </w:r>
    </w:p>
    <w:bookmarkEnd w:id="9"/>
    <w:bookmarkStart w:id="10" w:name="Xcba372516235bd616b34bd8cdc24bd8fe278814"/>
    <w:p>
      <w:pPr>
        <w:pStyle w:val="Heading2"/>
      </w:pPr>
      <w:r>
        <w:t xml:space="preserve">What Happened Last Quarter (Q1 2026) — The Backdrop</w:t>
      </w:r>
    </w:p>
    <w:p>
      <w:pPr>
        <w:pStyle w:val="FirstParagraph"/>
      </w:pPr>
      <w:r>
        <w:t xml:space="preserve">Textron delivered a strong Q1: revenue of $3.7 billion (+12% y/y) and adjusted EPS of $1.45 (+13% y/y), driven by broad-based A&amp;D strength. Perhaps more importantly, Textron</w:t>
      </w:r>
      <w:r>
        <w:t xml:space="preserve"> </w:t>
      </w:r>
      <w:r>
        <w:rPr>
          <w:b/>
          <w:bCs/>
        </w:rPr>
        <w:t xml:space="preserve">used the Q1 release to announce its intent to separate the Industrial segment (Kautex and Textron Specialized Vehicles) from its core A&amp;D businesses</w:t>
      </w:r>
      <w:r>
        <w:t xml:space="preserve">, targeting completion within 12–18 months via either a sale or a tax-free spin-off. This reshapes the investment case heading into Q2 and beyond — investors will be listening for any incremental process detail (structure preference, buyer interest, timeline) even though management has signaled it's still early.</w:t>
      </w:r>
    </w:p>
    <w:p>
      <w:pPr>
        <w:pStyle w:val="BodyText"/>
      </w:pPr>
      <w:r>
        <w:t xml:space="preserve">"Today is an incredibly exciting and important day for Textron. Our first quarter results highlight a very strong start to the year. We generated $3.7 billion in revenue, representing 12% growth for the quarter." Management guided that "We intend to explore multiple paths to effect this planned separation, including a sale of the Industrial businesses or a tax-free spin-off into a stand-alone publicly traded company... targeting a completion of the separation within 12 to 18 months."</w:t>
      </w:r>
    </w:p>
    <w:p>
      <w:r>
        <w:pict>
          <v:rect style="width:0;height:1.5pt" o:hralign="center" o:hrstd="t" o:hr="t"/>
        </w:pict>
      </w:r>
    </w:p>
    <w:bookmarkEnd w:id="10"/>
    <w:bookmarkStart w:id="17" w:name="key-things-to-watch-this-quarter"/>
    <w:p>
      <w:pPr>
        <w:pStyle w:val="Heading2"/>
      </w:pPr>
      <w:r>
        <w:t xml:space="preserve">Key Things to Watch This Quarter</w:t>
      </w:r>
    </w:p>
    <w:bookmarkStart w:id="11" w:name="X7c38ff8272bfd45ae3b0855d2ec3328b32d9092"/>
    <w:p>
      <w:pPr>
        <w:pStyle w:val="Heading3"/>
      </w:pPr>
      <w:r>
        <w:t xml:space="preserve">1. Aviation delivery cadence and margin recovery</w:t>
      </w:r>
    </w:p>
    <w:p>
      <w:pPr>
        <w:pStyle w:val="FirstParagraph"/>
      </w:pPr>
      <w:r>
        <w:t xml:space="preserve">Q1 margins came in below the midpoint of full-year guidance because of inefficiencies rolling through from last year. Management explicitly told investors to expect a</w:t>
      </w:r>
      <w:r>
        <w:t xml:space="preserve"> </w:t>
      </w:r>
      <w:r>
        <w:rPr>
          <w:b/>
          <w:bCs/>
        </w:rPr>
        <w:t xml:space="preserve">sequential improvement each quarter, with the margin peak in Q4</w:t>
      </w:r>
      <w:r>
        <w:t xml:space="preserve">, alongside rising deliveries. "So Robert, as we look at Q1, this was expected that we're about 100 basis points below the midpoint of the guide... You should expect deliveries to increase each quarter this year, and we'd also expect efficiencies to improve throughout the year, especially in the second half." Q2 2025's comp is a tough one — Textron Aviation delivered 49 jets and posted a $180 million segment profit a year ago — so watch delivery counts and margin trajectory closely as an early read on whether the "improve every quarter" guidance is on track.</w:t>
      </w:r>
    </w:p>
    <w:bookmarkEnd w:id="11"/>
    <w:bookmarkStart w:id="12" w:name="X0073b933dbbba9fb86266ff0c216480e2f602c4"/>
    <w:p>
      <w:pPr>
        <w:pStyle w:val="Heading3"/>
      </w:pPr>
      <w:r>
        <w:t xml:space="preserve">2. Bell commercial cadence and MV-75 Cheyenne progress</w:t>
      </w:r>
    </w:p>
    <w:p>
      <w:pPr>
        <w:pStyle w:val="FirstParagraph"/>
      </w:pPr>
      <w:r>
        <w:t xml:space="preserve">Bell's Q1 commercial helicopter deliveries fell to 20 from 29 a year earlier, partly timing-related, with management guiding to a</w:t>
      </w:r>
      <w:r>
        <w:t xml:space="preserve"> </w:t>
      </w:r>
      <w:r>
        <w:rPr>
          <w:b/>
          <w:bCs/>
        </w:rPr>
        <w:t xml:space="preserve">normalization through the year with a Q4 peak</w:t>
      </w:r>
      <w:r>
        <w:t xml:space="preserve"> </w:t>
      </w:r>
      <w:r>
        <w:t xml:space="preserve">similar to prior years. On the military side, the MV-75 Cheyenne (Bell's FLRAA award) remains the single biggest longer-term catalyst: the Army officially named the aircraft "Cheyenne," and the Trump administration's FY2027 budget calls for $2.3 billion of MV-75 funding scaling to</w:t>
      </w:r>
      <w:r>
        <w:t xml:space="preserve"> </w:t>
      </w:r>
      <m:oMath>
        <m:r>
          <m:t>3.8</m:t>
        </m:r>
        <m:r>
          <m:t>b</m:t>
        </m:r>
        <m:r>
          <m:t>i</m:t>
        </m:r>
        <m:r>
          <m:t>l</m:t>
        </m:r>
        <m:r>
          <m:t>l</m:t>
        </m:r>
        <m:r>
          <m:t>i</m:t>
        </m:r>
        <m:r>
          <m:t>o</m:t>
        </m:r>
        <m:r>
          <m:t>n</m:t>
        </m:r>
        <m:r>
          <m:t>b</m:t>
        </m:r>
        <m:r>
          <m:t>y</m:t>
        </m:r>
        <m:r>
          <m:t>F</m:t>
        </m:r>
        <m:r>
          <m:t>Y</m:t>
        </m:r>
        <m:r>
          <m:t>2031</m:t>
        </m:r>
        <m:r>
          <m:rPr>
            <m:sty m:val="p"/>
          </m:rPr>
          <m:t>,</m:t>
        </m:r>
        <m:r>
          <m:t>w</m:t>
        </m:r>
        <m:r>
          <m:t>i</m:t>
        </m:r>
        <m:r>
          <m:t>t</m:t>
        </m:r>
        <m:r>
          <m:t>h</m:t>
        </m:r>
        <m:r>
          <m:t>p</m:t>
        </m:r>
        <m:r>
          <m:t>r</m:t>
        </m:r>
        <m:r>
          <m:t>o</m:t>
        </m:r>
        <m:r>
          <m:t>c</m:t>
        </m:r>
        <m:r>
          <m:t>u</m:t>
        </m:r>
        <m:r>
          <m:t>r</m:t>
        </m:r>
        <m:r>
          <m:t>e</m:t>
        </m:r>
        <m:r>
          <m:t>m</m:t>
        </m:r>
        <m:r>
          <m:t>e</m:t>
        </m:r>
        <m:r>
          <m:t>n</m:t>
        </m:r>
        <m:r>
          <m:t>t</m:t>
        </m:r>
        <m:r>
          <m:t>q</m:t>
        </m:r>
        <m:r>
          <m:t>u</m:t>
        </m:r>
        <m:r>
          <m:t>a</m:t>
        </m:r>
        <m:r>
          <m:t>n</m:t>
        </m:r>
        <m:r>
          <m:t>t</m:t>
        </m:r>
        <m:r>
          <m:t>i</m:t>
        </m:r>
        <m:r>
          <m:t>t</m:t>
        </m:r>
        <m:r>
          <m:t>i</m:t>
        </m:r>
        <m:r>
          <m:t>e</m:t>
        </m:r>
        <m:r>
          <m:t>s</m:t>
        </m:r>
        <m:r>
          <m:t>r</m:t>
        </m:r>
        <m:r>
          <m:t>i</m:t>
        </m:r>
        <m:r>
          <m:t>s</m:t>
        </m:r>
        <m:r>
          <m:t>i</m:t>
        </m:r>
        <m:r>
          <m:t>n</m:t>
        </m:r>
        <m:r>
          <m:t>g</m:t>
        </m:r>
        <m:r>
          <m:t>f</m:t>
        </m:r>
        <m:r>
          <m:t>r</m:t>
        </m:r>
        <m:r>
          <m:t>o</m:t>
        </m:r>
        <m:r>
          <m:t>m</m:t>
        </m:r>
        <m:r>
          <m:t>8</m:t>
        </m:r>
        <m:r>
          <m:t>u</m:t>
        </m:r>
        <m:r>
          <m:t>n</m:t>
        </m:r>
        <m:r>
          <m:t>i</m:t>
        </m:r>
        <m:r>
          <m:t>t</m:t>
        </m:r>
        <m:r>
          <m:t>s</m:t>
        </m:r>
        <m:r>
          <m:t>i</m:t>
        </m:r>
        <m:r>
          <m:t>n</m:t>
        </m:r>
        <m:r>
          <m:t>F</m:t>
        </m:r>
        <m:r>
          <m:t>Y</m:t>
        </m:r>
        <m:r>
          <m:t>28</m:t>
        </m:r>
        <m:r>
          <m:t>t</m:t>
        </m:r>
        <m:r>
          <m:t>o</m:t>
        </m:r>
        <m:r>
          <m:t>27</m:t>
        </m:r>
        <m:r>
          <m:t>b</m:t>
        </m:r>
        <m:r>
          <m:t>y</m:t>
        </m:r>
        <m:r>
          <m:t>F</m:t>
        </m:r>
        <m:r>
          <m:t>Y</m:t>
        </m:r>
        <m:r>
          <m:t>31</m:t>
        </m:r>
        <m:r>
          <m:rPr>
            <m:sty m:val="p"/>
          </m:rPr>
          <m:t>.</m:t>
        </m:r>
        <m:r>
          <m:t>I</m:t>
        </m:r>
        <m:r>
          <m:t>n</m:t>
        </m:r>
        <m:r>
          <m:t>v</m:t>
        </m:r>
        <m:r>
          <m:t>e</m:t>
        </m:r>
        <m:r>
          <m:t>s</m:t>
        </m:r>
        <m:r>
          <m:t>t</m:t>
        </m:r>
        <m:r>
          <m:t>o</m:t>
        </m:r>
        <m:r>
          <m:t>r</m:t>
        </m:r>
        <m:r>
          <m:t>s</m:t>
        </m:r>
        <m:r>
          <m:t>s</m:t>
        </m:r>
        <m:r>
          <m:t>h</m:t>
        </m:r>
        <m:r>
          <m:t>o</m:t>
        </m:r>
        <m:r>
          <m:t>u</m:t>
        </m:r>
        <m:r>
          <m:t>l</m:t>
        </m:r>
        <m:r>
          <m:t>d</m:t>
        </m:r>
        <m:r>
          <m:t>w</m:t>
        </m:r>
        <m:r>
          <m:t>a</m:t>
        </m:r>
        <m:r>
          <m:t>t</m:t>
        </m:r>
        <m:r>
          <m:t>c</m:t>
        </m:r>
        <m:r>
          <m:t>h</m:t>
        </m:r>
        <m:r>
          <m:t>f</m:t>
        </m:r>
        <m:r>
          <m:t>o</m:t>
        </m:r>
        <m:r>
          <m:t>r</m:t>
        </m:r>
        <m:r>
          <m:t>u</m:t>
        </m:r>
        <m:r>
          <m:t>p</m:t>
        </m:r>
        <m:r>
          <m:t>d</m:t>
        </m:r>
        <m:r>
          <m:t>a</m:t>
        </m:r>
        <m:r>
          <m:t>t</m:t>
        </m:r>
        <m:r>
          <m:t>e</m:t>
        </m:r>
        <m:r>
          <m:t>s</m:t>
        </m:r>
        <m:r>
          <m:t>o</m:t>
        </m:r>
        <m:r>
          <m:t>n</m:t>
        </m:r>
        <m:r>
          <m:t>w</m:t>
        </m:r>
        <m:r>
          <m:t>h</m:t>
        </m:r>
        <m:r>
          <m:t>e</m:t>
        </m:r>
        <m:r>
          <m:t>t</m:t>
        </m:r>
        <m:r>
          <m:t>h</m:t>
        </m:r>
        <m:r>
          <m:t>e</m:t>
        </m:r>
        <m:r>
          <m:t>r</m:t>
        </m:r>
        <m:r>
          <m:t>t</m:t>
        </m:r>
        <m:r>
          <m:t>h</m:t>
        </m:r>
        <m:r>
          <m:t>e</m:t>
        </m:r>
        <m:r>
          <m:rPr>
            <m:sty m:val="p"/>
          </m:rPr>
          <m:t>*</m:t>
        </m:r>
        <m:r>
          <m:rPr>
            <m:sty m:val="p"/>
          </m:rPr>
          <m:t>*</m:t>
        </m:r>
        <m:r>
          <m:t>A</m:t>
        </m:r>
        <m:r>
          <m:t>r</m:t>
        </m:r>
        <m:r>
          <m:t>m</m:t>
        </m:r>
        <m:r>
          <m:t>y</m:t>
        </m:r>
        <m:r>
          <m:t>s</m:t>
        </m:r>
        <m:r>
          <m:t>e</m:t>
        </m:r>
        <m:r>
          <m:t>c</m:t>
        </m:r>
        <m:r>
          <m:t>u</m:t>
        </m:r>
        <m:r>
          <m:t>r</m:t>
        </m:r>
        <m:r>
          <m:t>e</m:t>
        </m:r>
        <m:r>
          <m:t>s</m:t>
        </m:r>
        <m:r>
          <m:t>t</m:t>
        </m:r>
        <m:r>
          <m:t>h</m:t>
        </m:r>
        <m:r>
          <m:t>e</m:t>
        </m:r>
        <m:r>
          <m:t>a</m:t>
        </m:r>
        <m:r>
          <m:t>d</m:t>
        </m:r>
        <m:r>
          <m:t>d</m:t>
        </m:r>
        <m:r>
          <m:t>i</m:t>
        </m:r>
        <m:r>
          <m:t>t</m:t>
        </m:r>
        <m:r>
          <m:t>i</m:t>
        </m:r>
        <m:r>
          <m:t>o</m:t>
        </m:r>
        <m:r>
          <m:t>n</m:t>
        </m:r>
        <m:r>
          <m:t>a</m:t>
        </m:r>
        <m:r>
          <m:t>l</m:t>
        </m:r>
        <m:r>
          <m:t>F</m:t>
        </m:r>
        <m:r>
          <m:t>Y</m:t>
        </m:r>
        <m:r>
          <m:t>26</m:t>
        </m:r>
        <m:r>
          <m:t>a</m:t>
        </m:r>
        <m:r>
          <m:t>c</m:t>
        </m:r>
        <m:r>
          <m:t>c</m:t>
        </m:r>
        <m:r>
          <m:t>e</m:t>
        </m:r>
        <m:r>
          <m:t>l</m:t>
        </m:r>
        <m:r>
          <m:t>e</m:t>
        </m:r>
        <m:r>
          <m:t>r</m:t>
        </m:r>
        <m:r>
          <m:t>a</m:t>
        </m:r>
        <m:r>
          <m:t>t</m:t>
        </m:r>
        <m:r>
          <m:t>i</m:t>
        </m:r>
        <m:r>
          <m:t>o</m:t>
        </m:r>
        <m:r>
          <m:t>n</m:t>
        </m:r>
        <m:r>
          <m:t>f</m:t>
        </m:r>
        <m:r>
          <m:t>u</m:t>
        </m:r>
        <m:r>
          <m:t>n</m:t>
        </m:r>
        <m:r>
          <m:t>d</m:t>
        </m:r>
        <m:r>
          <m:t>i</m:t>
        </m:r>
        <m:r>
          <m:t>n</m:t>
        </m:r>
        <m:r>
          <m:t>g</m:t>
        </m:r>
        <m:r>
          <m:rPr>
            <m:sty m:val="p"/>
          </m:rPr>
          <m:t>*</m:t>
        </m:r>
        <m:r>
          <m:rPr>
            <m:sty m:val="p"/>
          </m:rPr>
          <m:t>*</m:t>
        </m:r>
        <m:r>
          <m:t>i</m:t>
        </m:r>
        <m:r>
          <m:t>t</m:t>
        </m:r>
        <m:r>
          <m:t>h</m:t>
        </m:r>
        <m:r>
          <m:t>a</m:t>
        </m:r>
        <m:r>
          <m:t>s</m:t>
        </m:r>
        <m:r>
          <m:t>b</m:t>
        </m:r>
        <m:r>
          <m:t>e</m:t>
        </m:r>
        <m:r>
          <m:t>e</m:t>
        </m:r>
        <m:r>
          <m:t>n</m:t>
        </m:r>
        <m:r>
          <m:t>p</m:t>
        </m:r>
        <m:r>
          <m:t>u</m:t>
        </m:r>
        <m:r>
          <m:t>r</m:t>
        </m:r>
        <m:r>
          <m:t>s</m:t>
        </m:r>
        <m:r>
          <m:t>u</m:t>
        </m:r>
        <m:r>
          <m:t>i</m:t>
        </m:r>
        <m:r>
          <m:t>n</m:t>
        </m:r>
        <m:r>
          <m:t>g</m:t>
        </m:r>
        <m:r>
          <m:rPr>
            <m:sty m:val="p"/>
          </m:rPr>
          <m:t>,</m:t>
        </m:r>
        <m:r>
          <m:t>a</m:t>
        </m:r>
        <m:r>
          <m:t>n</m:t>
        </m:r>
        <m:r>
          <m:t>d</m:t>
        </m:r>
        <m:r>
          <m:t>a</m:t>
        </m:r>
        <m:r>
          <m:t>n</m:t>
        </m:r>
        <m:r>
          <m:t>y</m:t>
        </m:r>
        <m:r>
          <m:t>f</m:t>
        </m:r>
        <m:r>
          <m:t>r</m:t>
        </m:r>
        <m:r>
          <m:t>e</m:t>
        </m:r>
        <m:r>
          <m:t>s</m:t>
        </m:r>
        <m:r>
          <m:t>h</m:t>
        </m:r>
        <m:r>
          <m:t>c</m:t>
        </m:r>
        <m:r>
          <m:t>o</m:t>
        </m:r>
        <m:r>
          <m:t>m</m:t>
        </m:r>
        <m:r>
          <m:t>m</m:t>
        </m:r>
        <m:r>
          <m:t>e</m:t>
        </m:r>
        <m:r>
          <m:t>n</m:t>
        </m:r>
        <m:r>
          <m:t>t</m:t>
        </m:r>
        <m:r>
          <m:t>a</m:t>
        </m:r>
        <m:r>
          <m:t>r</m:t>
        </m:r>
        <m:r>
          <m:t>y</m:t>
        </m:r>
        <m:r>
          <m:t>o</m:t>
        </m:r>
        <m:r>
          <m:t>n</m:t>
        </m:r>
        <m:r>
          <m:t>t</m:t>
        </m:r>
        <m:r>
          <m:t>h</m:t>
        </m:r>
        <m:r>
          <m:t>e</m:t>
        </m:r>
        <m:r>
          <m:rPr>
            <m:sty m:val="p"/>
          </m:rPr>
          <m:t>*</m:t>
        </m:r>
        <m:r>
          <m:rPr>
            <m:sty m:val="p"/>
          </m:rPr>
          <m:t>*</m:t>
        </m:r>
      </m:oMath>
      <w:r>
        <w:t xml:space="preserve">60–110 million cumulative catch-up charge** tied to the LRIP CLIN, which management has said could land in H2 2026 or slip into H1 2027.</w:t>
      </w:r>
    </w:p>
    <w:bookmarkEnd w:id="12"/>
    <w:bookmarkStart w:id="13" w:name="X25f8360de1b024435427892cb018d1c90386640"/>
    <w:p>
      <w:pPr>
        <w:pStyle w:val="Heading3"/>
      </w:pPr>
      <w:r>
        <w:t xml:space="preserve">3. Backlog and order momentum</w:t>
      </w:r>
    </w:p>
    <w:p>
      <w:pPr>
        <w:pStyle w:val="FirstParagraph"/>
      </w:pPr>
      <w:r>
        <w:t xml:space="preserve">Q1 saw Aviation and Bell post their</w:t>
      </w:r>
      <w:r>
        <w:t xml:space="preserve"> </w:t>
      </w:r>
      <w:r>
        <w:rPr>
          <w:b/>
          <w:bCs/>
        </w:rPr>
        <w:t xml:space="preserve">best Q1 bookings in four years</w:t>
      </w:r>
      <w:r>
        <w:t xml:space="preserve"> </w:t>
      </w:r>
      <w:r>
        <w:t xml:space="preserve">(since Q1 2022), pushing total backlog to $19.2 billion. Management flagged</w:t>
      </w:r>
      <w:r>
        <w:t xml:space="preserve"> </w:t>
      </w:r>
      <w:r>
        <w:rPr>
          <w:b/>
          <w:bCs/>
        </w:rPr>
        <w:t xml:space="preserve">"pretty strong bookings" already working through Q2</w:t>
      </w:r>
      <w:r>
        <w:t xml:space="preserve"> </w:t>
      </w:r>
      <w:r>
        <w:t xml:space="preserve">for Aviation — a data point worth confirming given the read-through to 2027 revenue visibility, especially as the Industrial separation raises the profile of A&amp;D-only backlog quality (100% of the $19.2B backlog sits in A&amp;D).</w:t>
      </w:r>
    </w:p>
    <w:bookmarkEnd w:id="13"/>
    <w:bookmarkStart w:id="14" w:name="Xfb47bedde793378456c486696f424b4552a078f"/>
    <w:p>
      <w:pPr>
        <w:pStyle w:val="Heading3"/>
      </w:pPr>
      <w:r>
        <w:t xml:space="preserve">4. Full-year guidance reaffirmation</w:t>
      </w:r>
    </w:p>
    <w:p>
      <w:pPr>
        <w:pStyle w:val="FirstParagraph"/>
      </w:pPr>
      <w:r>
        <w:t xml:space="preserve">Textron's 2026 outlook, unchanged as of Q1, calls for</w:t>
      </w:r>
      <w:r>
        <w:t xml:space="preserve"> </w:t>
      </w:r>
      <w:r>
        <w:rPr>
          <w:b/>
          <w:bCs/>
        </w:rPr>
        <w:t xml:space="preserve">adjusted EPS of</w:t>
      </w:r>
      <w:r>
        <w:rPr>
          <w:b/>
          <w:bCs/>
        </w:rPr>
        <w:t xml:space="preserve"> </w:t>
      </w:r>
      <m:oMath>
        <m:r>
          <m:t>6.40</m:t>
        </m:r>
        <m:r>
          <m:rPr>
            <m:sty m:val="p"/>
          </m:rPr>
          <m:t>–</m:t>
        </m:r>
      </m:oMath>
      <w:r>
        <w:rPr>
          <w:b/>
          <w:bCs/>
        </w:rPr>
        <w:t xml:space="preserve">6.60</w:t>
      </w:r>
      <w:r>
        <w:t xml:space="preserve"> </w:t>
      </w:r>
      <w:r>
        <w:t xml:space="preserve">(implying ~8% growth over 2025's $6.10) and</w:t>
      </w:r>
      <w:r>
        <w:t xml:space="preserve"> </w:t>
      </w:r>
      <w:r>
        <w:rPr>
          <w:b/>
          <w:bCs/>
        </w:rPr>
        <w:t xml:space="preserve">manufacturing cash flow before pension contributions of $700–800 million</w:t>
      </w:r>
      <w:r>
        <w:t xml:space="preserve"> </w:t>
      </w:r>
      <w:r>
        <w:t xml:space="preserve">— notably below the</w:t>
      </w:r>
      <w:r>
        <w:t xml:space="preserve"> </w:t>
      </w:r>
      <m:oMath>
        <m:r>
          <m:t>900</m:t>
        </m:r>
        <m:r>
          <m:t>M</m:t>
        </m:r>
        <m:r>
          <m:rPr>
            <m:sty m:val="p"/>
          </m:rPr>
          <m:t>–</m:t>
        </m:r>
      </m:oMath>
      <w:r>
        <w:t xml:space="preserve">1.0B actually generated in 2025, worth probing on the call. Watch whether management reiterates, narrows, or nudges this range, particularly given the tone on Aviation/Bell margin cadence and any incremental cost from separation planning.</w:t>
      </w:r>
    </w:p>
    <w:bookmarkEnd w:id="14"/>
    <w:bookmarkStart w:id="15" w:name="X322654f059f5c1007df7fb435f82e9f74943532"/>
    <w:p>
      <w:pPr>
        <w:pStyle w:val="Heading3"/>
      </w:pPr>
      <w:r>
        <w:t xml:space="preserve">5. Separation process detail</w:t>
      </w:r>
    </w:p>
    <w:p>
      <w:pPr>
        <w:pStyle w:val="FirstParagraph"/>
      </w:pPr>
      <w:r>
        <w:t xml:space="preserve">Given the magnitude of the strategic announcement, expect the Q2 call to be as much about</w:t>
      </w:r>
      <w:r>
        <w:t xml:space="preserve"> </w:t>
      </w:r>
      <w:r>
        <w:rPr>
          <w:b/>
          <w:bCs/>
        </w:rPr>
        <w:t xml:space="preserve">process updates</w:t>
      </w:r>
      <w:r>
        <w:t xml:space="preserve"> </w:t>
      </w:r>
      <w:r>
        <w:t xml:space="preserve">(sale vs. spin, whether Kautex and Textron Specialized Vehicles are separated together or split apart, stranded-cost/dissynergy management, tax treatment) as about quarterly results. Management previously described dissynergies as minimal and reiterated that a spin would be structured tax-free.</w:t>
      </w:r>
    </w:p>
    <w:bookmarkEnd w:id="15"/>
    <w:bookmarkStart w:id="16" w:name="X18ee1225f9b587f6f6708deca35bf6518ab7520"/>
    <w:p>
      <w:pPr>
        <w:pStyle w:val="Heading3"/>
      </w:pPr>
      <w:r>
        <w:t xml:space="preserve">6. Macro/geopolitical swing factors</w:t>
      </w:r>
    </w:p>
    <w:p>
      <w:pPr>
        <w:pStyle w:val="FirstParagraph"/>
      </w:pPr>
      <w:r>
        <w:t xml:space="preserve">Management has said the ongoing Middle East conflict has "not seen a material impact on the ongoing conflict" for Textron to date, but flagged it is monitoring the mixed effects of higher oil prices on business-jet demand versus broader defense tailwinds. Tariff policy and supply-chain (notably engine availability) trends are also worth tracking; management noted improving — if still uneven — supplier on-time delivery performance in Q1.</w:t>
      </w:r>
    </w:p>
    <w:p>
      <w:r>
        <w:pict>
          <v:rect style="width:0;height:1.5pt" o:hralign="center" o:hrstd="t" o:hr="t"/>
        </w:pict>
      </w:r>
    </w:p>
    <w:bookmarkEnd w:id="16"/>
    <w:bookmarkEnd w:id="17"/>
    <w:bookmarkStart w:id="18" w:name="X355535240a1cad8df55ebd3c03833bc850fef6b"/>
    <w:p>
      <w:pPr>
        <w:pStyle w:val="Heading2"/>
      </w:pPr>
      <w:r>
        <w:t xml:space="preserve">Segment Cheat Sheet (Q2 2025 Actuals vs. Full-Year 2026 Guideposts)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pPr>
            <w:r>
              <w:t xml:space="preserve">Q2 2025 Revenue</w:t>
            </w:r>
          </w:p>
        </w:tc>
        <w:tc>
          <w:tcPr/>
          <w:p>
            <w:pPr>
              <w:pStyle w:val="Compact"/>
            </w:pPr>
            <w:r>
              <w:t xml:space="preserve">Q2 2025 Profit</w:t>
            </w:r>
          </w:p>
        </w:tc>
        <w:tc>
          <w:tcPr/>
          <w:p>
            <w:pPr>
              <w:pStyle w:val="Compact"/>
            </w:pPr>
            <w:r>
              <w:t xml:space="preserve">Backlog (Q1'26)</w:t>
            </w:r>
          </w:p>
        </w:tc>
        <w:tc>
          <w:tcPr/>
          <w:p>
            <w:pPr>
              <w:pStyle w:val="Compact"/>
            </w:pPr>
            <w:r>
              <w:t xml:space="preserve">2026E Revenue (pre-separation slide)</w:t>
            </w:r>
          </w:p>
        </w:tc>
      </w:tr>
      <w:tr>
        <w:tc>
          <w:tcPr/>
          <w:p>
            <w:pPr>
              <w:pStyle w:val="Compact"/>
            </w:pPr>
            <w:r>
              <w:t xml:space="preserve">Textron Aviation</w:t>
            </w:r>
          </w:p>
        </w:tc>
        <w:tc>
          <w:tcPr/>
          <w:p>
            <w:pPr>
              <w:pStyle w:val="Compact"/>
            </w:pPr>
            <w:r>
              <w:t xml:space="preserve">$1.52B</w:t>
            </w:r>
          </w:p>
        </w:tc>
        <w:tc>
          <w:tcPr/>
          <w:p>
            <w:pPr>
              <w:pStyle w:val="Compact"/>
            </w:pPr>
            <w:r>
              <w:t xml:space="preserve">$180M</w:t>
            </w:r>
          </w:p>
        </w:tc>
        <w:tc>
          <w:tcPr/>
          <w:p>
            <w:pPr>
              <w:pStyle w:val="Compact"/>
            </w:pPr>
            <w:r>
              <w:t xml:space="preserve">$8.0B</w:t>
            </w:r>
          </w:p>
        </w:tc>
        <w:tc>
          <w:tcPr/>
          <w:p>
            <w:pPr>
              <w:pStyle w:val="Compact"/>
            </w:pPr>
            <w:r>
              <w:t xml:space="preserve">~$6.5B (aircraft)</w:t>
            </w:r>
          </w:p>
        </w:tc>
      </w:tr>
      <w:tr>
        <w:tc>
          <w:tcPr/>
          <w:p>
            <w:pPr>
              <w:pStyle w:val="Compact"/>
            </w:pPr>
            <w:r>
              <w:t xml:space="preserve">Bell</w:t>
            </w:r>
          </w:p>
        </w:tc>
        <w:tc>
          <w:tcPr/>
          <w:p>
            <w:pPr>
              <w:pStyle w:val="Compact"/>
            </w:pPr>
            <w:r>
              <w:t xml:space="preserve">$1.02B</w:t>
            </w:r>
          </w:p>
        </w:tc>
        <w:tc>
          <w:tcPr/>
          <w:p>
            <w:pPr>
              <w:pStyle w:val="Compact"/>
            </w:pPr>
            <w:r>
              <w:t xml:space="preserve">$80M</w:t>
            </w:r>
          </w:p>
        </w:tc>
        <w:tc>
          <w:tcPr/>
          <w:p>
            <w:pPr>
              <w:pStyle w:val="Compact"/>
            </w:pPr>
            <w:r>
              <w:t xml:space="preserve">$7.6B</w:t>
            </w:r>
          </w:p>
        </w:tc>
        <w:tc>
          <w:tcPr/>
          <w:p>
            <w:pPr>
              <w:pStyle w:val="Compact"/>
            </w:pPr>
            <w:r>
              <w:t xml:space="preserve">~$4.4B</w:t>
            </w:r>
          </w:p>
        </w:tc>
      </w:tr>
      <w:tr>
        <w:tc>
          <w:tcPr/>
          <w:p>
            <w:pPr>
              <w:pStyle w:val="Compact"/>
            </w:pPr>
            <w:r>
              <w:t xml:space="preserve">Textron Systems</w:t>
            </w:r>
          </w:p>
        </w:tc>
        <w:tc>
          <w:tcPr/>
          <w:p>
            <w:pPr>
              <w:pStyle w:val="Compact"/>
            </w:pPr>
            <w:r>
              <w:t xml:space="preserve">$321M</w:t>
            </w:r>
          </w:p>
        </w:tc>
        <w:tc>
          <w:tcPr/>
          <w:p>
            <w:pPr>
              <w:pStyle w:val="Compact"/>
            </w:pPr>
            <w:r>
              <w:t xml:space="preserve">$40M</w:t>
            </w:r>
          </w:p>
        </w:tc>
        <w:tc>
          <w:tcPr/>
          <w:p>
            <w:pPr>
              <w:pStyle w:val="Compact"/>
            </w:pPr>
            <w:r>
              <w:t xml:space="preserve">$3.6B</w:t>
            </w:r>
          </w:p>
        </w:tc>
        <w:tc>
          <w:tcPr/>
          <w:p>
            <w:pPr>
              <w:pStyle w:val="Compact"/>
            </w:pPr>
            <w:r>
              <w:t xml:space="preserve">~$1.35B</w:t>
            </w:r>
          </w:p>
        </w:tc>
      </w:tr>
      <w:tr>
        <w:tc>
          <w:tcPr/>
          <w:p>
            <w:pPr>
              <w:pStyle w:val="Compact"/>
            </w:pPr>
            <w:r>
              <w:t xml:space="preserve">Industrial</w:t>
            </w:r>
          </w:p>
        </w:tc>
        <w:tc>
          <w:tcPr/>
          <w:p>
            <w:pPr>
              <w:pStyle w:val="Compact"/>
            </w:pPr>
            <w:r>
              <w:t xml:space="preserve">$839M</w:t>
            </w:r>
          </w:p>
        </w:tc>
        <w:tc>
          <w:tcPr/>
          <w:p>
            <w:pPr>
              <w:pStyle w:val="Compact"/>
            </w:pPr>
            <w:r>
              <w:t xml:space="preserve">$54M</w:t>
            </w:r>
          </w:p>
        </w:tc>
        <w:tc>
          <w:tcPr/>
          <w:p>
            <w:pPr>
              <w:pStyle w:val="Compact"/>
            </w:pPr>
            <w:r>
              <w:t xml:space="preserve">n/a</w:t>
            </w:r>
          </w:p>
        </w:tc>
        <w:tc>
          <w:tcPr/>
          <w:p>
            <w:pPr>
              <w:pStyle w:val="Compact"/>
            </w:pPr>
            <w:r>
              <w:t xml:space="preserve">~$3.2B (2025A)</w:t>
            </w:r>
          </w:p>
        </w:tc>
      </w:tr>
    </w:tbl>
    <w:p>
      <w:r>
        <w:pict>
          <v:rect style="width:0;height:1.5pt" o:hralign="center" o:hrstd="t" o:hr="t"/>
        </w:pict>
      </w:r>
    </w:p>
    <w:bookmarkEnd w:id="18"/>
    <w:bookmarkStart w:id="19" w:name="sector-read-throughs"/>
    <w:p>
      <w:pPr>
        <w:pStyle w:val="Heading2"/>
      </w:pPr>
      <w:r>
        <w:t xml:space="preserve">Sector Read-Throughs</w:t>
      </w:r>
    </w:p>
    <w:p>
      <w:pPr>
        <w:pStyle w:val="FirstParagraph"/>
      </w:pPr>
      <w:r>
        <w:t xml:space="preserve">Peers have set a generally constructive tone into Textron's print: AAR delivered 26.1% revenue growth (beating estimates by ~4%) while RTX topped revenue estimates by nearly 8% with 14.5% growth, though stock reactions diverged (AAR fell, RTX rose). General Dynamics reports the day after Textron (July 29), which should offer an additional cross-check on defense-side demand, particularly around Army modernization and shipbuilding trends relevant to Textron Systems and Bell.</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This print sits at an inflection point for Textron's investment narrative: near-term results still matter (Aviation margin cadence, Bell delivery normalization, order momentum), but the bigger story is the</w:t>
      </w:r>
      <w:r>
        <w:t xml:space="preserve"> </w:t>
      </w:r>
      <w:r>
        <w:rPr>
          <w:b/>
          <w:bCs/>
        </w:rPr>
        <w:t xml:space="preserve">execution of the pure-play A&amp;D separation</w:t>
      </w:r>
      <w:r>
        <w:t xml:space="preserve"> </w:t>
      </w:r>
      <w:r>
        <w:t xml:space="preserve">and the ramp of</w:t>
      </w:r>
      <w:r>
        <w:t xml:space="preserve"> </w:t>
      </w:r>
      <w:r>
        <w:rPr>
          <w:b/>
          <w:bCs/>
        </w:rPr>
        <w:t xml:space="preserve">MV-75 Cheyenne</w:t>
      </w:r>
      <w:r>
        <w:t xml:space="preserve">. With shares near highs and a full-year guide investors will want reaffirmed, the bar for a "clean beat and raise" is real — but the stock's reaction may hinge more on separation-process commentary and MV-75 funding/charge timing than on the quarterly EPS beat/miss itself.</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2026-07-28T00:10:10Z</dcterms:created>
  <dcterms:modified xsi:type="dcterms:W3CDTF">2026-07-28T00:10:10Z</dcterms:modified>
</cp:coreProperties>
</file>

<file path=docProps/custom.xml><?xml version="1.0" encoding="utf-8"?>
<Properties xmlns="http://schemas.openxmlformats.org/officeDocument/2006/custom-properties" xmlns:vt="http://schemas.openxmlformats.org/officeDocument/2006/docPropsVTypes"/>
</file>