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t-earnings-predictions--2026-07-28"/>
    <w:p>
      <w:pPr>
        <w:pStyle w:val="Heading1"/>
      </w:pPr>
      <w:r>
        <w:t xml:space="preserve">TXT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Textron Aviation segment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~11.2% vs. cons 11.0%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Bell segment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~7.7% vs. cons 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~$6.50 midpoint vs. cons $6.60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~$15.5B vs. cons $15.6B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Manufacturing cash flow before pension contributions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~$750M midpoint vs. cons $750M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of ~$1.58 vs.</w:t>
            </w:r>
            <w:r>
              <w:t xml:space="preserve"> </w:t>
            </w:r>
            <m:oMath>
              <m:r>
                <m:t>1.54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B</m:t>
              </m:r>
              <m:r>
                <m:t>e</m:t>
              </m:r>
              <m:r>
                <m:t>l</m:t>
              </m:r>
              <m:r>
                <m:t>l</m:t>
              </m:r>
              <m:r>
                <m:t>m</m:t>
              </m:r>
              <m:r>
                <m:t>a</m:t>
              </m:r>
              <m:r>
                <m:t>r</m:t>
              </m:r>
              <m:r>
                <m:t>g</m:t>
              </m:r>
              <m:r>
                <m:t>i</m:t>
              </m:r>
              <m:r>
                <m:t>n</m:t>
              </m:r>
              <m:r>
                <m:t>p</m:t>
              </m:r>
              <m:r>
                <m:t>r</m:t>
              </m:r>
              <m:r>
                <m:t>e</m:t>
              </m:r>
              <m:r>
                <m:t>s</m:t>
              </m:r>
              <m:r>
                <m:t>s</m:t>
              </m:r>
              <m:r>
                <m:t>u</m:t>
              </m:r>
              <m:r>
                <m:t>r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6.50 vs. $6.60 consensus. The resulting dependence on a strong second half, plus unresolved MV-75 funding and charge timing, should drive modest estimate reductions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2026-07-28T00:08:33Z</dcterms:created>
  <dcterms:modified xsi:type="dcterms:W3CDTF">2026-07-28T00:08:33Z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