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95f19a599f2ca385fbe2b569a2069574188380c"/>
    <w:p>
      <w:pPr>
        <w:pStyle w:val="Heading1"/>
      </w:pPr>
      <w:r>
        <w:t xml:space="preserve">Textron (NYSE: TXT) — Q2 2026 Earnings Preview</w:t>
      </w:r>
    </w:p>
    <w:p>
      <w:pPr>
        <w:pStyle w:val="FirstParagraph"/>
      </w:pPr>
      <w:r>
        <w:rPr>
          <w:b/>
          <w:bCs/>
        </w:rPr>
        <w:t xml:space="preserve">Report:</w:t>
      </w:r>
      <w:r>
        <w:t xml:space="preserve"> </w:t>
      </w:r>
      <w:r>
        <w:t xml:space="preserve">Tuesday, July 28, 2026, before the market opens</w:t>
      </w:r>
      <w:r>
        <w:br/>
      </w:r>
      <w:r>
        <w:rPr>
          <w:b/>
          <w:bCs/>
        </w:rPr>
        <w:t xml:space="preserve">Conference call:</w:t>
      </w:r>
      <w:r>
        <w:t xml:space="preserve"> </w:t>
      </w:r>
      <w:r>
        <w:t xml:space="preserve">8:00 a.m. ET</w:t>
      </w:r>
      <w:r>
        <w:br/>
      </w:r>
      <w:r>
        <w:rPr>
          <w:b/>
          <w:bCs/>
        </w:rPr>
        <w:t xml:space="preserve">Share price:</w:t>
      </w:r>
      <w:r>
        <w:t xml:space="preserve"> </w:t>
      </w:r>
      <w:r>
        <w:t xml:space="preserve">approximately</w:t>
      </w:r>
      <w:r>
        <w:t xml:space="preserve"> </w:t>
      </w:r>
      <w:r>
        <w:rPr>
          <w:b/>
          <w:bCs/>
        </w:rPr>
        <w:t xml:space="preserve">$96.15</w:t>
      </w:r>
      <w:r>
        <w:t xml:space="preserve"> </w:t>
      </w:r>
      <w:r>
        <w:t xml:space="preserve">at the July 27 close</w:t>
      </w:r>
    </w:p>
    <w:bookmarkStart w:id="9" w:name="executive-view"/>
    <w:p>
      <w:pPr>
        <w:pStyle w:val="Heading2"/>
      </w:pPr>
      <w:r>
        <w:t xml:space="preserve">Executive view</w:t>
      </w:r>
    </w:p>
    <w:p>
      <w:pPr>
        <w:pStyle w:val="FirstParagraph"/>
      </w:pPr>
      <w:r>
        <w:t xml:space="preserve">Textron enters Q2 with two distinct investment narratives:</w:t>
      </w:r>
    </w:p>
    <w:p>
      <w:pPr>
        <w:pStyle w:val="Compact"/>
        <w:numPr>
          <w:ilvl w:val="0"/>
          <w:numId w:val="1001"/>
        </w:numPr>
      </w:pPr>
      <w:r>
        <w:rPr>
          <w:b/>
          <w:bCs/>
        </w:rPr>
        <w:t xml:space="preserve">Near-term execution:</w:t>
      </w:r>
      <w:r>
        <w:t xml:space="preserve"> </w:t>
      </w:r>
      <w:r>
        <w:t xml:space="preserve">Aviation must increase production and margins, while Bell needs to recover from an unusually weak commercial-helicopter quarter.</w:t>
      </w:r>
    </w:p>
    <w:p>
      <w:pPr>
        <w:pStyle w:val="Compact"/>
        <w:numPr>
          <w:ilvl w:val="0"/>
          <w:numId w:val="1001"/>
        </w:numPr>
      </w:pPr>
      <w:r>
        <w:rPr>
          <w:b/>
          <w:bCs/>
        </w:rPr>
        <w:t xml:space="preserve">Portfolio transformation:</w:t>
      </w:r>
      <w:r>
        <w:t xml:space="preserve"> </w:t>
      </w:r>
      <w:r>
        <w:t xml:space="preserve">Management must advance the planned separation of Industrial while managing the funding and cost risks surrounding Bell’s MV-75 Cheyenne program.</w:t>
      </w:r>
    </w:p>
    <w:p>
      <w:pPr>
        <w:pStyle w:val="FirstParagraph"/>
      </w:pPr>
      <w:r>
        <w:t xml:space="preserve">The headline numbers matter, but the stock is more likely to react to</w:t>
      </w:r>
      <w:r>
        <w:t xml:space="preserve"> </w:t>
      </w:r>
      <w:r>
        <w:rPr>
          <w:b/>
          <w:bCs/>
        </w:rPr>
        <w:t xml:space="preserve">Aviation margins, Bell’s MV-75 funding status, full-year guidance and evidence that the Industrial separation is progressing</w:t>
      </w:r>
      <w:r>
        <w:t xml:space="preserve">.</w:t>
      </w:r>
    </w:p>
    <w:p>
      <w:pPr>
        <w:pStyle w:val="BodyText"/>
      </w:pPr>
      <w:r>
        <w:t xml:space="preserve">A modest earnings beat accompanied by unchanged guidance and unresolved MV-75 funding questions may not be enough. Conversely, solid Aviation execution, a meaningful Bell margin recovery and reassurance on MV-75 could support the shares even without a large headline beat.</w:t>
      </w:r>
    </w:p>
    <w:p>
      <w:r>
        <w:pict>
          <v:rect style="width:0;height:1.5pt" o:hralign="center" o:hrstd="t" o:hr="t"/>
        </w:pict>
      </w:r>
    </w:p>
    <w:bookmarkEnd w:id="9"/>
    <w:bookmarkStart w:id="12" w:name="street-expectations"/>
    <w:p>
      <w:pPr>
        <w:pStyle w:val="Heading2"/>
      </w:pPr>
      <w:r>
        <w:t xml:space="preserve">Street expectations</w:t>
      </w:r>
    </w:p>
    <w:p>
      <w:pPr>
        <w:pStyle w:val="FirstParagraph"/>
      </w:pPr>
      <w:r>
        <w:t xml:space="preserve">Published estimates vary modestly by provider: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Revenue</w:t>
            </w:r>
          </w:p>
        </w:tc>
        <w:tc>
          <w:tcPr/>
          <w:p>
            <w:pPr>
              <w:pStyle w:val="Compact"/>
              <w:jc w:val="right"/>
            </w:pPr>
            <w:r>
              <w:t xml:space="preserve">Approximately</w:t>
            </w:r>
            <w:r>
              <w:t xml:space="preserve"> </w:t>
            </w:r>
            <w:r>
              <w:rPr>
                <w:b/>
                <w:bCs/>
              </w:rPr>
              <w:t xml:space="preserve">$3.81B</w:t>
            </w:r>
          </w:p>
        </w:tc>
        <w:tc>
          <w:tcPr/>
          <w:p>
            <w:pPr>
              <w:pStyle w:val="Compact"/>
              <w:jc w:val="right"/>
            </w:pPr>
            <w:r>
              <w:t xml:space="preserve">$3.716B</w:t>
            </w:r>
          </w:p>
        </w:tc>
        <w:tc>
          <w:tcPr/>
          <w:p>
            <w:pPr>
              <w:pStyle w:val="Compact"/>
              <w:jc w:val="right"/>
            </w:pPr>
            <w:r>
              <w:t xml:space="preserve">About</w:t>
            </w:r>
            <w:r>
              <w:t xml:space="preserve"> </w:t>
            </w:r>
            <w:r>
              <w:rPr>
                <w:b/>
                <w:bCs/>
              </w:rPr>
              <w:t xml:space="preserve">+2.5%</w:t>
            </w:r>
          </w:p>
        </w:tc>
      </w:tr>
      <w:tr>
        <w:tc>
          <w:tcPr/>
          <w:p>
            <w:pPr>
              <w:pStyle w:val="Compact"/>
            </w:pPr>
            <w:r>
              <w:t xml:space="preserve">Adjusted EPS</w:t>
            </w:r>
          </w:p>
        </w:tc>
        <w:tc>
          <w:tcPr/>
          <w:p>
            <w:pPr>
              <w:pStyle w:val="Compact"/>
              <w:jc w:val="right"/>
            </w:pPr>
            <w:r>
              <w:t xml:space="preserve">Approximately</w:t>
            </w:r>
            <w:r>
              <w:t xml:space="preserve"> </w:t>
            </w:r>
            <m:oMath>
              <m:r>
                <m:t>1.52</m:t>
              </m:r>
              <m:r>
                <m:rPr>
                  <m:sty m:val="p"/>
                </m:rPr>
                <m:t>–</m:t>
              </m:r>
            </m:oMath>
            <w:r>
              <w:rPr>
                <w:b/>
                <w:bCs/>
              </w:rPr>
              <w:t xml:space="preserve">1.55</w:t>
            </w:r>
          </w:p>
        </w:tc>
        <w:tc>
          <w:tcPr/>
          <w:p>
            <w:pPr>
              <w:pStyle w:val="Compact"/>
              <w:jc w:val="right"/>
            </w:pPr>
            <w:r>
              <w:t xml:space="preserve">$1.55</w:t>
            </w:r>
          </w:p>
        </w:tc>
        <w:tc>
          <w:tcPr/>
          <w:p>
            <w:pPr>
              <w:pStyle w:val="Compact"/>
              <w:jc w:val="right"/>
            </w:pPr>
            <w:r>
              <w:t xml:space="preserve">Roughly flat</w:t>
            </w:r>
          </w:p>
        </w:tc>
      </w:tr>
    </w:tbl>
    <w:p>
      <w:pPr>
        <w:pStyle w:val="BodyText"/>
      </w:pPr>
      <w:r>
        <w:t xml:space="preserve">MarketBeat lists consensus at $3.81 billion of revenue and $1.52 of EPS, while TipRanks lists a $1.55 EPS forecast. (</w:t>
      </w:r>
      <w:hyperlink r:id="rId10">
        <w:r>
          <w:rPr>
            <w:rStyle w:val="Hyperlink"/>
          </w:rPr>
          <w:t xml:space="preserve">marketbeat.com</w:t>
        </w:r>
      </w:hyperlink>
      <w:r>
        <w:t xml:space="preserve">)</w:t>
      </w:r>
    </w:p>
    <w:p>
      <w:pPr>
        <w:pStyle w:val="BodyText"/>
      </w:pPr>
      <w:r>
        <w:t xml:space="preserve">Textron reported Q1 revenue of $3.695 billion and adjusted EPS of $1.45, up 12% and 13%, respectively. Full-year guidance remains:</w:t>
      </w:r>
    </w:p>
    <w:p>
      <w:pPr>
        <w:pStyle w:val="Compact"/>
        <w:numPr>
          <w:ilvl w:val="0"/>
          <w:numId w:val="1002"/>
        </w:numPr>
      </w:pPr>
      <w:r>
        <w:rPr>
          <w:b/>
          <w:bCs/>
        </w:rPr>
        <w:t xml:space="preserve">Adjusted EPS:</w:t>
      </w:r>
      <w:r>
        <w:t xml:space="preserve"> </w:t>
      </w:r>
      <m:oMath>
        <m:r>
          <m:t>6.40</m:t>
        </m:r>
        <m:r>
          <m:rPr>
            <m:sty m:val="p"/>
          </m:rPr>
          <m:t>–</m:t>
        </m:r>
      </m:oMath>
      <w:r>
        <w:t xml:space="preserve">6.60</w:t>
      </w:r>
    </w:p>
    <w:p>
      <w:pPr>
        <w:pStyle w:val="Compact"/>
        <w:numPr>
          <w:ilvl w:val="0"/>
          <w:numId w:val="1002"/>
        </w:numPr>
      </w:pPr>
      <w:r>
        <w:rPr>
          <w:b/>
          <w:bCs/>
        </w:rPr>
        <w:t xml:space="preserve">Manufacturing cash flow before pension contributions:</w:t>
      </w:r>
      <w:r>
        <w:t xml:space="preserve"> </w:t>
      </w:r>
      <m:oMath>
        <m:r>
          <m:t>700</m:t>
        </m:r>
        <m:r>
          <m:rPr>
            <m:sty m:val="p"/>
          </m:rPr>
          <m:t>–</m:t>
        </m:r>
      </m:oMath>
      <w:r>
        <w:t xml:space="preserve">800 million</w:t>
      </w:r>
    </w:p>
    <w:p>
      <w:pPr>
        <w:pStyle w:val="Compact"/>
        <w:numPr>
          <w:ilvl w:val="0"/>
          <w:numId w:val="1002"/>
        </w:numPr>
      </w:pPr>
      <w:r>
        <w:rPr>
          <w:b/>
          <w:bCs/>
        </w:rPr>
        <w:t xml:space="preserve">Company revenue:</w:t>
      </w:r>
      <w:r>
        <w:t xml:space="preserve"> </w:t>
      </w:r>
      <w:r>
        <w:t xml:space="preserve">approximately $15.5 billion</w:t>
      </w:r>
    </w:p>
    <w:p>
      <w:pPr>
        <w:pStyle w:val="Compact"/>
        <w:numPr>
          <w:ilvl w:val="0"/>
          <w:numId w:val="1002"/>
        </w:numPr>
      </w:pPr>
      <w:r>
        <w:rPr>
          <w:b/>
          <w:bCs/>
        </w:rPr>
        <w:t xml:space="preserve">Capital expenditures:</w:t>
      </w:r>
      <w:r>
        <w:t xml:space="preserve"> </w:t>
      </w:r>
      <w:r>
        <w:t xml:space="preserve">approximately $650 million</w:t>
      </w:r>
    </w:p>
    <w:p>
      <w:pPr>
        <w:pStyle w:val="FirstParagraph"/>
      </w:pPr>
      <w:r>
        <w:t xml:space="preserve">The EPS midpoint is $6.50. After Q1, Textron needs approximately $5.05 over the final three quarters to reach that midpoint. If Q2 is around</w:t>
      </w:r>
      <w:r>
        <w:t xml:space="preserve"> </w:t>
      </w:r>
      <m:oMath>
        <m:r>
          <m:t>1.52</m:t>
        </m:r>
        <m:r>
          <m:rPr>
            <m:sty m:val="p"/>
          </m:rPr>
          <m:t>–</m:t>
        </m:r>
      </m:oMath>
      <w:r>
        <w:t xml:space="preserve">1.55, the company would need roughly $1.75 per quarter in the second half—reasonable given its normal seasonality, but leaving less room for operational slippage. (</w:t>
      </w:r>
      <w:hyperlink r:id="rId11">
        <w:r>
          <w:rPr>
            <w:rStyle w:val="Hyperlink"/>
          </w:rPr>
          <w:t xml:space="preserve">investor.textron.com</w:t>
        </w:r>
      </w:hyperlink>
      <w:r>
        <w:t xml:space="preserve">)</w:t>
      </w:r>
    </w:p>
    <w:p>
      <w:r>
        <w:pict>
          <v:rect style="width:0;height:1.5pt" o:hralign="center" o:hrstd="t" o:hr="t"/>
        </w:pict>
      </w:r>
    </w:p>
    <w:bookmarkEnd w:id="12"/>
    <w:bookmarkStart w:id="17" w:name="Xa39a9bb7a254b493f347eb630bf92b3ec446d3c"/>
    <w:p>
      <w:pPr>
        <w:pStyle w:val="Heading2"/>
      </w:pPr>
      <w:r>
        <w:t xml:space="preserve">The key issue: Aviation must demonstrate operating leverage</w:t>
      </w:r>
    </w:p>
    <w:p>
      <w:pPr>
        <w:pStyle w:val="FirstParagraph"/>
      </w:pPr>
      <w:r>
        <w:t xml:space="preserve">Textron Aviation was the primary growth engine in Q1:</w:t>
      </w:r>
    </w:p>
    <w:p>
      <w:pPr>
        <w:pStyle w:val="Compact"/>
        <w:numPr>
          <w:ilvl w:val="0"/>
          <w:numId w:val="1003"/>
        </w:numPr>
      </w:pPr>
      <w:r>
        <w:t xml:space="preserve">Revenue increased</w:t>
      </w:r>
      <w:r>
        <w:t xml:space="preserve"> </w:t>
      </w:r>
      <w:r>
        <w:rPr>
          <w:b/>
          <w:bCs/>
        </w:rPr>
        <w:t xml:space="preserve">22%</w:t>
      </w:r>
      <w:r>
        <w:t xml:space="preserve"> </w:t>
      </w:r>
      <w:r>
        <w:t xml:space="preserve">to $1.485 billion.</w:t>
      </w:r>
    </w:p>
    <w:p>
      <w:pPr>
        <w:pStyle w:val="Compact"/>
        <w:numPr>
          <w:ilvl w:val="0"/>
          <w:numId w:val="1003"/>
        </w:numPr>
      </w:pPr>
      <w:r>
        <w:t xml:space="preserve">Citation jet deliveries rose to</w:t>
      </w:r>
      <w:r>
        <w:t xml:space="preserve"> </w:t>
      </w:r>
      <w:r>
        <w:rPr>
          <w:b/>
          <w:bCs/>
        </w:rPr>
        <w:t xml:space="preserve">37 from 31</w:t>
      </w:r>
      <w:r>
        <w:t xml:space="preserve">.</w:t>
      </w:r>
    </w:p>
    <w:p>
      <w:pPr>
        <w:pStyle w:val="Compact"/>
        <w:numPr>
          <w:ilvl w:val="0"/>
          <w:numId w:val="1003"/>
        </w:numPr>
      </w:pPr>
      <w:r>
        <w:t xml:space="preserve">Commercial turboprop deliveries increased to</w:t>
      </w:r>
      <w:r>
        <w:t xml:space="preserve"> </w:t>
      </w:r>
      <w:r>
        <w:rPr>
          <w:b/>
          <w:bCs/>
        </w:rPr>
        <w:t xml:space="preserve">35 from 30</w:t>
      </w:r>
      <w:r>
        <w:t xml:space="preserve">.</w:t>
      </w:r>
    </w:p>
    <w:p>
      <w:pPr>
        <w:pStyle w:val="Compact"/>
        <w:numPr>
          <w:ilvl w:val="0"/>
          <w:numId w:val="1003"/>
        </w:numPr>
      </w:pPr>
      <w:r>
        <w:t xml:space="preserve">Aftermarket revenue grew</w:t>
      </w:r>
      <w:r>
        <w:t xml:space="preserve"> </w:t>
      </w:r>
      <w:r>
        <w:rPr>
          <w:b/>
          <w:bCs/>
        </w:rPr>
        <w:t xml:space="preserve">10%</w:t>
      </w:r>
      <w:r>
        <w:t xml:space="preserve">.</w:t>
      </w:r>
    </w:p>
    <w:p>
      <w:pPr>
        <w:pStyle w:val="Compact"/>
        <w:numPr>
          <w:ilvl w:val="0"/>
          <w:numId w:val="1003"/>
        </w:numPr>
      </w:pPr>
      <w:r>
        <w:t xml:space="preserve">Segment profit rose</w:t>
      </w:r>
      <w:r>
        <w:t xml:space="preserve"> </w:t>
      </w:r>
      <w:r>
        <w:rPr>
          <w:b/>
          <w:bCs/>
        </w:rPr>
        <w:t xml:space="preserve">26%</w:t>
      </w:r>
      <w:r>
        <w:t xml:space="preserve"> </w:t>
      </w:r>
      <w:r>
        <w:t xml:space="preserve">to $154 million.</w:t>
      </w:r>
    </w:p>
    <w:p>
      <w:pPr>
        <w:pStyle w:val="Compact"/>
        <w:numPr>
          <w:ilvl w:val="0"/>
          <w:numId w:val="1003"/>
        </w:numPr>
      </w:pPr>
      <w:r>
        <w:t xml:space="preserve">Backlog ended Q1 at</w:t>
      </w:r>
      <w:r>
        <w:t xml:space="preserve"> </w:t>
      </w:r>
      <w:r>
        <w:rPr>
          <w:b/>
          <w:bCs/>
        </w:rPr>
        <w:t xml:space="preserve">$8.0 billion</w:t>
      </w:r>
      <w:r>
        <w:t xml:space="preserve">, up $276 million from year-end.</w:t>
      </w:r>
    </w:p>
    <w:p>
      <w:pPr>
        <w:pStyle w:val="FirstParagraph"/>
      </w:pPr>
      <w:r>
        <w:t xml:space="preserve">The limitation was margin. Aviation’s Q1 margin was</w:t>
      </w:r>
      <w:r>
        <w:t xml:space="preserve"> </w:t>
      </w:r>
      <w:r>
        <w:rPr>
          <w:b/>
          <w:bCs/>
        </w:rPr>
        <w:t xml:space="preserve">10.4%</w:t>
      </w:r>
      <w:r>
        <w:t xml:space="preserve">, below the full-year target of</w:t>
      </w:r>
      <w:r>
        <w:t xml:space="preserve"> </w:t>
      </w:r>
      <w:r>
        <w:rPr>
          <w:b/>
          <w:bCs/>
        </w:rPr>
        <w:t xml:space="preserve">11%–12%</w:t>
      </w:r>
      <w:r>
        <w:t xml:space="preserve">. Management attributed this partly to prior-period factory inefficiencies moving through the income statement and said margins and deliveries should improve sequentially, with the strongest quarter in Q4. (</w:t>
      </w:r>
      <w:hyperlink r:id="rId13">
        <w:r>
          <w:rPr>
            <w:rStyle w:val="Hyperlink"/>
          </w:rPr>
          <w:t xml:space="preserve">investor.textron.com</w:t>
        </w:r>
      </w:hyperlink>
      <w:r>
        <w:t xml:space="preserve">)</w:t>
      </w:r>
    </w:p>
    <w:bookmarkStart w:id="15" w:name="what-would-constitute-a-good-q2"/>
    <w:p>
      <w:pPr>
        <w:pStyle w:val="Heading3"/>
      </w:pPr>
      <w:r>
        <w:t xml:space="preserve">What would constitute a good Q2?</w:t>
      </w:r>
    </w:p>
    <w:p>
      <w:pPr>
        <w:pStyle w:val="FirstParagraph"/>
      </w:pPr>
      <w:r>
        <w:t xml:space="preserve">Investors should look for:</w:t>
      </w:r>
    </w:p>
    <w:p>
      <w:pPr>
        <w:pStyle w:val="Compact"/>
        <w:numPr>
          <w:ilvl w:val="0"/>
          <w:numId w:val="1004"/>
        </w:numPr>
      </w:pPr>
      <w:r>
        <w:t xml:space="preserve">Deliveries above Q1’s 37 jets and 35 turboprops.</w:t>
      </w:r>
    </w:p>
    <w:p>
      <w:pPr>
        <w:pStyle w:val="Compact"/>
        <w:numPr>
          <w:ilvl w:val="0"/>
          <w:numId w:val="1004"/>
        </w:numPr>
      </w:pPr>
      <w:r>
        <w:t xml:space="preserve">Aviation revenue comfortably above the prior-year Q2 figure of $1.517 billion.</w:t>
      </w:r>
    </w:p>
    <w:p>
      <w:pPr>
        <w:pStyle w:val="Compact"/>
        <w:numPr>
          <w:ilvl w:val="0"/>
          <w:numId w:val="1004"/>
        </w:numPr>
      </w:pPr>
      <w:r>
        <w:t xml:space="preserve">Margin moving toward or above</w:t>
      </w:r>
      <w:r>
        <w:t xml:space="preserve"> </w:t>
      </w:r>
      <w:r>
        <w:rPr>
          <w:b/>
          <w:bCs/>
        </w:rPr>
        <w:t xml:space="preserve">11%</w:t>
      </w:r>
      <w:r>
        <w:t xml:space="preserve">.</w:t>
      </w:r>
    </w:p>
    <w:p>
      <w:pPr>
        <w:pStyle w:val="Compact"/>
        <w:numPr>
          <w:ilvl w:val="0"/>
          <w:numId w:val="1004"/>
        </w:numPr>
      </w:pPr>
      <w:r>
        <w:t xml:space="preserve">Continued mid- to high-single-digit aftermarket growth.</w:t>
      </w:r>
    </w:p>
    <w:p>
      <w:pPr>
        <w:pStyle w:val="Compact"/>
        <w:numPr>
          <w:ilvl w:val="0"/>
          <w:numId w:val="1004"/>
        </w:numPr>
      </w:pPr>
      <w:r>
        <w:t xml:space="preserve">Backlog holding near $8 billion despite higher deliveries.</w:t>
      </w:r>
    </w:p>
    <w:p>
      <w:pPr>
        <w:pStyle w:val="Compact"/>
        <w:numPr>
          <w:ilvl w:val="0"/>
          <w:numId w:val="1004"/>
        </w:numPr>
      </w:pPr>
      <w:r>
        <w:t xml:space="preserve">Evidence that engine availability and factory labor productivity are improving.</w:t>
      </w:r>
    </w:p>
    <w:p>
      <w:pPr>
        <w:pStyle w:val="FirstParagraph"/>
      </w:pPr>
      <w:r>
        <w:t xml:space="preserve">Q2 2025 Aviation profit was $180 million on $1.517 billion of revenue, an approximately 11.9% margin. However, that quarter benefited from a different product and cost mix, so the year-over-year margin comparison is less important than sequential progress from Q1’s 10.4%. (</w:t>
      </w:r>
      <w:hyperlink r:id="rId14">
        <w:r>
          <w:rPr>
            <w:rStyle w:val="Hyperlink"/>
          </w:rPr>
          <w:t xml:space="preserve">investor.textron.com</w:t>
        </w:r>
      </w:hyperlink>
      <w:r>
        <w:t xml:space="preserve">)</w:t>
      </w:r>
    </w:p>
    <w:bookmarkEnd w:id="15"/>
    <w:bookmarkStart w:id="16" w:name="main-risk"/>
    <w:p>
      <w:pPr>
        <w:pStyle w:val="Heading3"/>
      </w:pPr>
      <w:r>
        <w:t xml:space="preserve">Main risk</w:t>
      </w:r>
    </w:p>
    <w:p>
      <w:pPr>
        <w:pStyle w:val="FirstParagraph"/>
      </w:pPr>
      <w:r>
        <w:t xml:space="preserve">Management has said the supply chain is improving but continues to identify engines as an important constraint. Textron is also shifting some investment from product R&amp;D toward factories and supply-chain performance. If deliveries rise without corresponding margin improvement, investors may conclude that Textron’s production ramp remains expensive and inefficient.</w:t>
      </w:r>
    </w:p>
    <w:p>
      <w:r>
        <w:pict>
          <v:rect style="width:0;height:1.5pt" o:hralign="center" o:hrstd="t" o:hr="t"/>
        </w:pict>
      </w:r>
    </w:p>
    <w:bookmarkEnd w:id="16"/>
    <w:bookmarkEnd w:id="17"/>
    <w:bookmarkStart w:id="20" w:name="X88460767a07a053b2605cd70b085eaae81f5bcc"/>
    <w:p>
      <w:pPr>
        <w:pStyle w:val="Heading2"/>
      </w:pPr>
      <w:r>
        <w:t xml:space="preserve">Bell: commercial recovery versus MV-75 dilution</w:t>
      </w:r>
    </w:p>
    <w:p>
      <w:pPr>
        <w:pStyle w:val="FirstParagraph"/>
      </w:pPr>
      <w:r>
        <w:t xml:space="preserve">Bell’s Q1 results contained the quarter’s largest operational disappointment: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Bell Q1 metric</w:t>
            </w:r>
          </w:p>
        </w:tc>
        <w:tc>
          <w:tcPr/>
          <w:p>
            <w:pPr>
              <w:pStyle w:val="Compact"/>
              <w:jc w:val="right"/>
            </w:pPr>
            <w:r>
              <w:t xml:space="preserve">Result</w:t>
            </w:r>
          </w:p>
        </w:tc>
        <w:tc>
          <w:tcPr/>
          <w:p>
            <w:pPr>
              <w:pStyle w:val="Compact"/>
              <w:jc w:val="right"/>
            </w:pPr>
            <w:r>
              <w:t xml:space="preserve">Year-over-year</w:t>
            </w:r>
          </w:p>
        </w:tc>
      </w:tr>
      <w:tr>
        <w:tc>
          <w:tcPr/>
          <w:p>
            <w:pPr>
              <w:pStyle w:val="Compact"/>
            </w:pPr>
            <w:r>
              <w:t xml:space="preserve">Revenue</w:t>
            </w:r>
          </w:p>
        </w:tc>
        <w:tc>
          <w:tcPr/>
          <w:p>
            <w:pPr>
              <w:pStyle w:val="Compact"/>
              <w:jc w:val="right"/>
            </w:pPr>
            <w:r>
              <w:t xml:space="preserve">$1.070B</w:t>
            </w:r>
          </w:p>
        </w:tc>
        <w:tc>
          <w:tcPr/>
          <w:p>
            <w:pPr>
              <w:pStyle w:val="Compact"/>
              <w:jc w:val="right"/>
            </w:pPr>
            <w:r>
              <w:t xml:space="preserve">+9%</w:t>
            </w:r>
          </w:p>
        </w:tc>
      </w:tr>
      <w:tr>
        <w:tc>
          <w:tcPr/>
          <w:p>
            <w:pPr>
              <w:pStyle w:val="Compact"/>
            </w:pPr>
            <w:r>
              <w:t xml:space="preserve">Military revenue</w:t>
            </w:r>
          </w:p>
        </w:tc>
        <w:tc>
          <w:tcPr/>
          <w:p>
            <w:pPr>
              <w:pStyle w:val="Compact"/>
              <w:jc w:val="right"/>
            </w:pPr>
            <w:r>
              <w:t xml:space="preserve">$795M</w:t>
            </w:r>
          </w:p>
        </w:tc>
        <w:tc>
          <w:tcPr/>
          <w:p>
            <w:pPr>
              <w:pStyle w:val="Compact"/>
              <w:jc w:val="right"/>
            </w:pPr>
            <w:r>
              <w:t xml:space="preserve">+25%</w:t>
            </w:r>
          </w:p>
        </w:tc>
      </w:tr>
      <w:tr>
        <w:tc>
          <w:tcPr/>
          <w:p>
            <w:pPr>
              <w:pStyle w:val="Compact"/>
            </w:pPr>
            <w:r>
              <w:t xml:space="preserve">Commercial revenue</w:t>
            </w:r>
          </w:p>
        </w:tc>
        <w:tc>
          <w:tcPr/>
          <w:p>
            <w:pPr>
              <w:pStyle w:val="Compact"/>
              <w:jc w:val="right"/>
            </w:pPr>
            <w:r>
              <w:t xml:space="preserve">$275M</w:t>
            </w:r>
          </w:p>
        </w:tc>
        <w:tc>
          <w:tcPr/>
          <w:p>
            <w:pPr>
              <w:pStyle w:val="Compact"/>
              <w:jc w:val="right"/>
            </w:pPr>
            <w:r>
              <w:t xml:space="preserve">-21%</w:t>
            </w:r>
          </w:p>
        </w:tc>
      </w:tr>
      <w:tr>
        <w:tc>
          <w:tcPr/>
          <w:p>
            <w:pPr>
              <w:pStyle w:val="Compact"/>
            </w:pPr>
            <w:r>
              <w:t xml:space="preserve">Commercial deliveries</w:t>
            </w:r>
          </w:p>
        </w:tc>
        <w:tc>
          <w:tcPr/>
          <w:p>
            <w:pPr>
              <w:pStyle w:val="Compact"/>
              <w:jc w:val="right"/>
            </w:pPr>
            <w:r>
              <w:t xml:space="preserve">20</w:t>
            </w:r>
          </w:p>
        </w:tc>
        <w:tc>
          <w:tcPr/>
          <w:p>
            <w:pPr>
              <w:pStyle w:val="Compact"/>
              <w:jc w:val="right"/>
            </w:pPr>
            <w:r>
              <w:t xml:space="preserve">Down from 29</w:t>
            </w:r>
          </w:p>
        </w:tc>
      </w:tr>
      <w:tr>
        <w:tc>
          <w:tcPr/>
          <w:p>
            <w:pPr>
              <w:pStyle w:val="Compact"/>
            </w:pPr>
            <w:r>
              <w:t xml:space="preserve">Segment profit</w:t>
            </w:r>
          </w:p>
        </w:tc>
        <w:tc>
          <w:tcPr/>
          <w:p>
            <w:pPr>
              <w:pStyle w:val="Compact"/>
              <w:jc w:val="right"/>
            </w:pPr>
            <w:r>
              <w:t xml:space="preserve">$72M</w:t>
            </w:r>
          </w:p>
        </w:tc>
        <w:tc>
          <w:tcPr/>
          <w:p>
            <w:pPr>
              <w:pStyle w:val="Compact"/>
              <w:jc w:val="right"/>
            </w:pPr>
            <w:r>
              <w:t xml:space="preserve">-20%</w:t>
            </w:r>
          </w:p>
        </w:tc>
      </w:tr>
      <w:tr>
        <w:tc>
          <w:tcPr/>
          <w:p>
            <w:pPr>
              <w:pStyle w:val="Compact"/>
            </w:pPr>
            <w:r>
              <w:t xml:space="preserve">Segment margin</w:t>
            </w:r>
          </w:p>
        </w:tc>
        <w:tc>
          <w:tcPr/>
          <w:p>
            <w:pPr>
              <w:pStyle w:val="Compact"/>
              <w:jc w:val="right"/>
            </w:pPr>
            <w:r>
              <w:t xml:space="preserve">6.7%</w:t>
            </w:r>
          </w:p>
        </w:tc>
        <w:tc>
          <w:tcPr/>
          <w:p>
            <w:pPr>
              <w:pStyle w:val="Compact"/>
              <w:jc w:val="right"/>
            </w:pPr>
            <w:r>
              <w:t xml:space="preserve">Down from 9.2%</w:t>
            </w:r>
          </w:p>
        </w:tc>
      </w:tr>
    </w:tbl>
    <w:p>
      <w:pPr>
        <w:pStyle w:val="BodyText"/>
      </w:pPr>
      <w:r>
        <w:t xml:space="preserve">Military growth was driven by MV-75, but that work currently carries a lower margin than Bell’s commercial mix and mature military programs. Management expects commercial deliveries to normalize through the year and Bell’s margin to reach the full-year</w:t>
      </w:r>
      <w:r>
        <w:t xml:space="preserve"> </w:t>
      </w:r>
      <w:r>
        <w:rPr>
          <w:b/>
          <w:bCs/>
        </w:rPr>
        <w:t xml:space="preserve">8%–9%</w:t>
      </w:r>
      <w:r>
        <w:t xml:space="preserve"> </w:t>
      </w:r>
      <w:r>
        <w:t xml:space="preserve">range.</w:t>
      </w:r>
    </w:p>
    <w:bookmarkStart w:id="19" w:name="the-q2-bell-scorecard"/>
    <w:p>
      <w:pPr>
        <w:pStyle w:val="Heading3"/>
      </w:pPr>
      <w:r>
        <w:t xml:space="preserve">The Q2 Bell scorecard</w:t>
      </w:r>
    </w:p>
    <w:p>
      <w:pPr>
        <w:pStyle w:val="FirstParagraph"/>
      </w:pPr>
      <w:r>
        <w:t xml:space="preserve">A constructive report would show:</w:t>
      </w:r>
    </w:p>
    <w:p>
      <w:pPr>
        <w:pStyle w:val="Compact"/>
        <w:numPr>
          <w:ilvl w:val="0"/>
          <w:numId w:val="1005"/>
        </w:numPr>
      </w:pPr>
      <w:r>
        <w:t xml:space="preserve">Commercial helicopter deliveries recovering materially from Q1’s 20.</w:t>
      </w:r>
    </w:p>
    <w:p>
      <w:pPr>
        <w:pStyle w:val="Compact"/>
        <w:numPr>
          <w:ilvl w:val="0"/>
          <w:numId w:val="1005"/>
        </w:numPr>
      </w:pPr>
      <w:r>
        <w:t xml:space="preserve">Bell margin returning toward at least the high-7% area.</w:t>
      </w:r>
    </w:p>
    <w:p>
      <w:pPr>
        <w:pStyle w:val="Compact"/>
        <w:numPr>
          <w:ilvl w:val="0"/>
          <w:numId w:val="1005"/>
        </w:numPr>
      </w:pPr>
      <w:r>
        <w:t xml:space="preserve">Continued MV-75 progress without new cost deterioration.</w:t>
      </w:r>
    </w:p>
    <w:p>
      <w:pPr>
        <w:pStyle w:val="Compact"/>
        <w:numPr>
          <w:ilvl w:val="0"/>
          <w:numId w:val="1005"/>
        </w:numPr>
      </w:pPr>
      <w:r>
        <w:t xml:space="preserve">Commercial backlog supported by recent order activity.</w:t>
      </w:r>
    </w:p>
    <w:p>
      <w:pPr>
        <w:pStyle w:val="Compact"/>
        <w:numPr>
          <w:ilvl w:val="0"/>
          <w:numId w:val="1005"/>
        </w:numPr>
      </w:pPr>
      <w:r>
        <w:t xml:space="preserve">Confidence in the $4.4 billion full-year revenue target.</w:t>
      </w:r>
    </w:p>
    <w:p>
      <w:pPr>
        <w:pStyle w:val="FirstParagraph"/>
      </w:pPr>
      <w:r>
        <w:t xml:space="preserve">Bell has continued announcing commercial activity, including European orders, while delivering its 700th Bell 505 during the Farnborough International Airshow. Those announcements support the demand narrative, although quarterly delivery timing and mix will determine reported profitability. (</w:t>
      </w:r>
      <w:hyperlink r:id="rId18">
        <w:r>
          <w:rPr>
            <w:rStyle w:val="Hyperlink"/>
          </w:rPr>
          <w:t xml:space="preserve">news.bellflight.com</w:t>
        </w:r>
      </w:hyperlink>
      <w:r>
        <w:t xml:space="preserve">)</w:t>
      </w:r>
    </w:p>
    <w:p>
      <w:r>
        <w:pict>
          <v:rect style="width:0;height:1.5pt" o:hralign="center" o:hrstd="t" o:hr="t"/>
        </w:pict>
      </w:r>
    </w:p>
    <w:bookmarkEnd w:id="19"/>
    <w:bookmarkEnd w:id="20"/>
    <w:bookmarkStart w:id="22" w:name="X6bb728c7790a7170dc1a5123157f914fcc06ec0"/>
    <w:p>
      <w:pPr>
        <w:pStyle w:val="Heading2"/>
      </w:pPr>
      <w:r>
        <w:t xml:space="preserve">MV-75 funding is the most important call topic</w:t>
      </w:r>
    </w:p>
    <w:p>
      <w:pPr>
        <w:pStyle w:val="FirstParagraph"/>
      </w:pPr>
      <w:r>
        <w:t xml:space="preserve">Textron disclosed in its Q1 10-Q that the Army was pursuing</w:t>
      </w:r>
      <w:r>
        <w:t xml:space="preserve"> </w:t>
      </w:r>
      <w:r>
        <w:rPr>
          <w:b/>
          <w:bCs/>
        </w:rPr>
        <w:t xml:space="preserve">$350 million of additional fiscal 2026 funding</w:t>
      </w:r>
      <w:r>
        <w:t xml:space="preserve"> </w:t>
      </w:r>
      <w:r>
        <w:t xml:space="preserve">to support the accelerated MV-75 schedule. Bell expected to exhaust currently available program funds during Textron’s third quarter and planned spending reductions to extend the available funding.</w:t>
      </w:r>
    </w:p>
    <w:p>
      <w:pPr>
        <w:pStyle w:val="BodyText"/>
      </w:pPr>
      <w:r>
        <w:t xml:space="preserve">Without additional funding, risks include:</w:t>
      </w:r>
    </w:p>
    <w:p>
      <w:pPr>
        <w:pStyle w:val="Compact"/>
        <w:numPr>
          <w:ilvl w:val="0"/>
          <w:numId w:val="1006"/>
        </w:numPr>
      </w:pPr>
      <w:r>
        <w:t xml:space="preserve">A temporary stop-work requirement.</w:t>
      </w:r>
    </w:p>
    <w:p>
      <w:pPr>
        <w:pStyle w:val="Compact"/>
        <w:numPr>
          <w:ilvl w:val="0"/>
          <w:numId w:val="1006"/>
        </w:numPr>
      </w:pPr>
      <w:r>
        <w:t xml:space="preserve">Program delays.</w:t>
      </w:r>
    </w:p>
    <w:p>
      <w:pPr>
        <w:pStyle w:val="Compact"/>
        <w:numPr>
          <w:ilvl w:val="0"/>
          <w:numId w:val="1006"/>
        </w:numPr>
      </w:pPr>
      <w:r>
        <w:t xml:space="preserve">Supplier claims.</w:t>
      </w:r>
    </w:p>
    <w:p>
      <w:pPr>
        <w:pStyle w:val="Compact"/>
        <w:numPr>
          <w:ilvl w:val="0"/>
          <w:numId w:val="1006"/>
        </w:numPr>
      </w:pPr>
      <w:r>
        <w:t xml:space="preserve">Unrecoverable costs.</w:t>
      </w:r>
    </w:p>
    <w:p>
      <w:pPr>
        <w:pStyle w:val="Compact"/>
        <w:numPr>
          <w:ilvl w:val="0"/>
          <w:numId w:val="1006"/>
        </w:numPr>
      </w:pPr>
      <w:r>
        <w:t xml:space="preserve">Disruption to Bell’s revenue and margin cadence.</w:t>
      </w:r>
    </w:p>
    <w:p>
      <w:pPr>
        <w:pStyle w:val="FirstParagraph"/>
      </w:pPr>
      <w:r>
        <w:t xml:space="preserve">Management previously said it did not expect any stop-work period to extend into Q4 because the government’s fiscal 2027 plan included substantial MV-75 funding. Still, investors need a concrete update on whether the additional fiscal 2026 funds have been secured.</w:t>
      </w:r>
    </w:p>
    <w:bookmarkStart w:id="21" w:name="separate-accounting-risk"/>
    <w:p>
      <w:pPr>
        <w:pStyle w:val="Heading3"/>
      </w:pPr>
      <w:r>
        <w:t xml:space="preserve">Separate accounting risk</w:t>
      </w:r>
    </w:p>
    <w:p>
      <w:pPr>
        <w:pStyle w:val="FirstParagraph"/>
      </w:pPr>
      <w:r>
        <w:t xml:space="preserve">Textron continues to expect a</w:t>
      </w:r>
      <w:r>
        <w:t xml:space="preserve"> </w:t>
      </w:r>
      <m:oMath>
        <m:r>
          <m:t>60</m:t>
        </m:r>
        <m:r>
          <m:rPr>
            <m:sty m:val="p"/>
          </m:rPr>
          <m:t>–</m:t>
        </m:r>
      </m:oMath>
      <w:r>
        <w:rPr>
          <w:b/>
          <w:bCs/>
        </w:rPr>
        <w:t xml:space="preserve">110 million unfavorable cumulative catch-up adjustment</w:t>
      </w:r>
      <w:r>
        <w:t xml:space="preserve"> </w:t>
      </w:r>
      <w:r>
        <w:t xml:space="preserve">when the largely fixed-price long-lead low-rate initial production option is awarded. The timing remains late 2026 or early 2027, and the charge is not incorporated into current guidance because timing is uncertain.</w:t>
      </w:r>
    </w:p>
    <w:p>
      <w:pPr>
        <w:pStyle w:val="BodyText"/>
      </w:pPr>
      <w:r>
        <w:t xml:space="preserve">Key questions for management:</w:t>
      </w:r>
    </w:p>
    <w:p>
      <w:pPr>
        <w:pStyle w:val="Compact"/>
        <w:numPr>
          <w:ilvl w:val="0"/>
          <w:numId w:val="1007"/>
        </w:numPr>
      </w:pPr>
      <w:r>
        <w:t xml:space="preserve">Has the $350 million of incremental fiscal 2026 funding been approved?</w:t>
      </w:r>
    </w:p>
    <w:p>
      <w:pPr>
        <w:pStyle w:val="Compact"/>
        <w:numPr>
          <w:ilvl w:val="0"/>
          <w:numId w:val="1007"/>
        </w:numPr>
      </w:pPr>
      <w:r>
        <w:t xml:space="preserve">Has Bell slowed spending or supplier activity?</w:t>
      </w:r>
    </w:p>
    <w:p>
      <w:pPr>
        <w:pStyle w:val="Compact"/>
        <w:numPr>
          <w:ilvl w:val="0"/>
          <w:numId w:val="1007"/>
        </w:numPr>
      </w:pPr>
      <w:r>
        <w:t xml:space="preserve">Is the expected LRIP award still on schedule?</w:t>
      </w:r>
    </w:p>
    <w:p>
      <w:pPr>
        <w:pStyle w:val="Compact"/>
        <w:numPr>
          <w:ilvl w:val="0"/>
          <w:numId w:val="1007"/>
        </w:numPr>
      </w:pPr>
      <w:r>
        <w:t xml:space="preserve">Has the estimated</w:t>
      </w:r>
      <w:r>
        <w:t xml:space="preserve"> </w:t>
      </w:r>
      <m:oMath>
        <m:r>
          <m:t>60</m:t>
        </m:r>
        <m:r>
          <m:rPr>
            <m:sty m:val="p"/>
          </m:rPr>
          <m:t>–</m:t>
        </m:r>
      </m:oMath>
      <w:r>
        <w:t xml:space="preserve">110 million charge changed?</w:t>
      </w:r>
    </w:p>
    <w:p>
      <w:pPr>
        <w:pStyle w:val="Compact"/>
        <w:numPr>
          <w:ilvl w:val="0"/>
          <w:numId w:val="1007"/>
        </w:numPr>
      </w:pPr>
      <w:r>
        <w:t xml:space="preserve">Are first prototype and EMD milestones proceeding as planned?</w:t>
      </w:r>
    </w:p>
    <w:p>
      <w:pPr>
        <w:pStyle w:val="FirstParagraph"/>
      </w:pPr>
      <w:r>
        <w:t xml:space="preserve">Any increase in the expected charge range would likely overshadow a modest quarterly earnings beat.</w:t>
      </w:r>
    </w:p>
    <w:p>
      <w:r>
        <w:pict>
          <v:rect style="width:0;height:1.5pt" o:hralign="center" o:hrstd="t" o:hr="t"/>
        </w:pict>
      </w:r>
    </w:p>
    <w:bookmarkEnd w:id="21"/>
    <w:bookmarkEnd w:id="22"/>
    <w:bookmarkStart w:id="23" w:name="textron-systems-should-remain-steady"/>
    <w:p>
      <w:pPr>
        <w:pStyle w:val="Heading2"/>
      </w:pPr>
      <w:r>
        <w:t xml:space="preserve">Textron Systems should remain steady</w:t>
      </w:r>
    </w:p>
    <w:p>
      <w:pPr>
        <w:pStyle w:val="FirstParagraph"/>
      </w:pPr>
      <w:r>
        <w:t xml:space="preserve">Systems had a strong Q1:</w:t>
      </w:r>
    </w:p>
    <w:p>
      <w:pPr>
        <w:pStyle w:val="Compact"/>
        <w:numPr>
          <w:ilvl w:val="0"/>
          <w:numId w:val="1008"/>
        </w:numPr>
      </w:pPr>
      <w:r>
        <w:t xml:space="preserve">Revenue increased</w:t>
      </w:r>
      <w:r>
        <w:t xml:space="preserve"> </w:t>
      </w:r>
      <w:r>
        <w:rPr>
          <w:b/>
          <w:bCs/>
        </w:rPr>
        <w:t xml:space="preserve">13%</w:t>
      </w:r>
      <w:r>
        <w:t xml:space="preserve"> </w:t>
      </w:r>
      <w:r>
        <w:t xml:space="preserve">to $338 million.</w:t>
      </w:r>
    </w:p>
    <w:p>
      <w:pPr>
        <w:pStyle w:val="Compact"/>
        <w:numPr>
          <w:ilvl w:val="0"/>
          <w:numId w:val="1008"/>
        </w:numPr>
      </w:pPr>
      <w:r>
        <w:t xml:space="preserve">Segment profit increased</w:t>
      </w:r>
      <w:r>
        <w:t xml:space="preserve"> </w:t>
      </w:r>
      <w:r>
        <w:rPr>
          <w:b/>
          <w:bCs/>
        </w:rPr>
        <w:t xml:space="preserve">11%</w:t>
      </w:r>
      <w:r>
        <w:t xml:space="preserve"> </w:t>
      </w:r>
      <w:r>
        <w:t xml:space="preserve">to $42 million.</w:t>
      </w:r>
    </w:p>
    <w:p>
      <w:pPr>
        <w:pStyle w:val="Compact"/>
        <w:numPr>
          <w:ilvl w:val="0"/>
          <w:numId w:val="1008"/>
        </w:numPr>
      </w:pPr>
      <w:r>
        <w:t xml:space="preserve">Margin was</w:t>
      </w:r>
      <w:r>
        <w:t xml:space="preserve"> </w:t>
      </w:r>
      <w:r>
        <w:rPr>
          <w:b/>
          <w:bCs/>
        </w:rPr>
        <w:t xml:space="preserve">12.4%</w:t>
      </w:r>
      <w:r>
        <w:t xml:space="preserve">.</w:t>
      </w:r>
    </w:p>
    <w:p>
      <w:pPr>
        <w:pStyle w:val="Compact"/>
        <w:numPr>
          <w:ilvl w:val="0"/>
          <w:numId w:val="1008"/>
        </w:numPr>
      </w:pPr>
      <w:r>
        <w:t xml:space="preserve">Backlog increased to</w:t>
      </w:r>
      <w:r>
        <w:t xml:space="preserve"> </w:t>
      </w:r>
      <w:r>
        <w:rPr>
          <w:b/>
          <w:bCs/>
        </w:rPr>
        <w:t xml:space="preserve">$3.6 billion</w:t>
      </w:r>
      <w:r>
        <w:t xml:space="preserve">.</w:t>
      </w:r>
    </w:p>
    <w:p>
      <w:pPr>
        <w:pStyle w:val="FirstParagraph"/>
      </w:pPr>
      <w:r>
        <w:t xml:space="preserve">That is already close to the full-year revenue run rate implied by the $1.35 billion annual target, while the margin sits within management’s</w:t>
      </w:r>
      <w:r>
        <w:t xml:space="preserve"> </w:t>
      </w:r>
      <w:r>
        <w:rPr>
          <w:b/>
          <w:bCs/>
        </w:rPr>
        <w:t xml:space="preserve">12%–13%</w:t>
      </w:r>
      <w:r>
        <w:t xml:space="preserve"> </w:t>
      </w:r>
      <w:r>
        <w:t xml:space="preserve">guidance.</w:t>
      </w:r>
    </w:p>
    <w:p>
      <w:pPr>
        <w:pStyle w:val="BodyText"/>
      </w:pPr>
      <w:r>
        <w:t xml:space="preserve">Growth drivers include:</w:t>
      </w:r>
    </w:p>
    <w:p>
      <w:pPr>
        <w:pStyle w:val="Compact"/>
        <w:numPr>
          <w:ilvl w:val="0"/>
          <w:numId w:val="1009"/>
        </w:numPr>
      </w:pPr>
      <w:r>
        <w:t xml:space="preserve">Ship-to-Shore Connector.</w:t>
      </w:r>
    </w:p>
    <w:p>
      <w:pPr>
        <w:pStyle w:val="Compact"/>
        <w:numPr>
          <w:ilvl w:val="0"/>
          <w:numId w:val="1009"/>
        </w:numPr>
      </w:pPr>
      <w:r>
        <w:t xml:space="preserve">ATAC military training services.</w:t>
      </w:r>
    </w:p>
    <w:p>
      <w:pPr>
        <w:pStyle w:val="Compact"/>
        <w:numPr>
          <w:ilvl w:val="0"/>
          <w:numId w:val="1009"/>
        </w:numPr>
      </w:pPr>
      <w:r>
        <w:t xml:space="preserve">The $450 million Advanced Reconnaissance Vehicle preproduction award.</w:t>
      </w:r>
    </w:p>
    <w:p>
      <w:pPr>
        <w:pStyle w:val="Compact"/>
        <w:numPr>
          <w:ilvl w:val="0"/>
          <w:numId w:val="1009"/>
        </w:numPr>
      </w:pPr>
      <w:r>
        <w:t xml:space="preserve">Sentinel-related advanced materials.</w:t>
      </w:r>
    </w:p>
    <w:p>
      <w:pPr>
        <w:pStyle w:val="Compact"/>
        <w:numPr>
          <w:ilvl w:val="0"/>
          <w:numId w:val="1009"/>
        </w:numPr>
      </w:pPr>
      <w:r>
        <w:t xml:space="preserve">Unmanned and loitering-munition opportunities.</w:t>
      </w:r>
    </w:p>
    <w:p>
      <w:pPr>
        <w:pStyle w:val="FirstParagraph"/>
      </w:pPr>
      <w:r>
        <w:t xml:space="preserve">Systems is unlikely to determine the immediate earnings reaction unless it reports a contract charge or material award. Its role is to provide consistent growth and double-digit margins while building the longer-term defense pipeline.</w:t>
      </w:r>
    </w:p>
    <w:p>
      <w:r>
        <w:pict>
          <v:rect style="width:0;height:1.5pt" o:hralign="center" o:hrstd="t" o:hr="t"/>
        </w:pict>
      </w:r>
    </w:p>
    <w:bookmarkEnd w:id="23"/>
    <w:bookmarkStart w:id="25" w:name="Xddccbe73f8e4c26e8a4ca14072ac4e4f1d2a2b6"/>
    <w:p>
      <w:pPr>
        <w:pStyle w:val="Heading2"/>
      </w:pPr>
      <w:r>
        <w:t xml:space="preserve">Industrial separation: investors need signs of forward motion</w:t>
      </w:r>
    </w:p>
    <w:p>
      <w:pPr>
        <w:pStyle w:val="FirstParagraph"/>
      </w:pPr>
      <w:r>
        <w:t xml:space="preserve">On April 30, Textron announced plans to separate Kautex and Textron Specialized Vehicles, either through a sale, separate sales or a tax-free spin-off. Management targeted completion within</w:t>
      </w:r>
      <w:r>
        <w:t xml:space="preserve"> </w:t>
      </w:r>
      <w:r>
        <w:rPr>
          <w:b/>
          <w:bCs/>
        </w:rPr>
        <w:t xml:space="preserve">12–18 months</w:t>
      </w:r>
      <w:r>
        <w:t xml:space="preserve">, implying a rough window from April 2027 through October 2027. (</w:t>
      </w:r>
      <w:hyperlink r:id="rId24">
        <w:r>
          <w:rPr>
            <w:rStyle w:val="Hyperlink"/>
          </w:rPr>
          <w:t xml:space="preserve">investor.textron.com</w:t>
        </w:r>
      </w:hyperlink>
      <w:r>
        <w:t xml:space="preserve">)</w:t>
      </w:r>
    </w:p>
    <w:p>
      <w:pPr>
        <w:pStyle w:val="BodyText"/>
      </w:pPr>
      <w:r>
        <w:t xml:space="preserve">The strategic argument is clear:</w:t>
      </w:r>
    </w:p>
    <w:p>
      <w:pPr>
        <w:pStyle w:val="Compact"/>
        <w:numPr>
          <w:ilvl w:val="0"/>
          <w:numId w:val="1010"/>
        </w:numPr>
      </w:pPr>
      <w:r>
        <w:t xml:space="preserve">“New Textron” would be a pure-play aerospace and defense company.</w:t>
      </w:r>
    </w:p>
    <w:p>
      <w:pPr>
        <w:pStyle w:val="Compact"/>
        <w:numPr>
          <w:ilvl w:val="0"/>
          <w:numId w:val="1010"/>
        </w:numPr>
      </w:pPr>
      <w:r>
        <w:t xml:space="preserve">All $19.2 billion of Q1 backlog resides in the A&amp;D businesses.</w:t>
      </w:r>
    </w:p>
    <w:p>
      <w:pPr>
        <w:pStyle w:val="Compact"/>
        <w:numPr>
          <w:ilvl w:val="0"/>
          <w:numId w:val="1010"/>
        </w:numPr>
      </w:pPr>
      <w:r>
        <w:t xml:space="preserve">Management estimates the remaining business would have faster growth and approximately 120 basis points higher segment margin.</w:t>
      </w:r>
    </w:p>
    <w:p>
      <w:pPr>
        <w:pStyle w:val="Compact"/>
        <w:numPr>
          <w:ilvl w:val="0"/>
          <w:numId w:val="1010"/>
        </w:numPr>
      </w:pPr>
      <w:r>
        <w:t xml:space="preserve">Capital allocation would become more directly focused on Aviation, Bell and Systems.</w:t>
      </w:r>
    </w:p>
    <w:p>
      <w:pPr>
        <w:pStyle w:val="FirstParagraph"/>
      </w:pPr>
      <w:r>
        <w:t xml:space="preserve">Only three months have passed since the announcement, so a definitive transaction is unlikely. Nevertheless, investors should listen for:</w:t>
      </w:r>
    </w:p>
    <w:p>
      <w:pPr>
        <w:pStyle w:val="Compact"/>
        <w:numPr>
          <w:ilvl w:val="0"/>
          <w:numId w:val="1011"/>
        </w:numPr>
      </w:pPr>
      <w:r>
        <w:t xml:space="preserve">Whether a sale or spin is becoming the preferred route.</w:t>
      </w:r>
    </w:p>
    <w:p>
      <w:pPr>
        <w:pStyle w:val="Compact"/>
        <w:numPr>
          <w:ilvl w:val="0"/>
          <w:numId w:val="1011"/>
        </w:numPr>
      </w:pPr>
      <w:r>
        <w:t xml:space="preserve">Whether Kautex and Specialized Vehicles could be sold separately.</w:t>
      </w:r>
    </w:p>
    <w:p>
      <w:pPr>
        <w:pStyle w:val="Compact"/>
        <w:numPr>
          <w:ilvl w:val="0"/>
          <w:numId w:val="1011"/>
        </w:numPr>
      </w:pPr>
      <w:r>
        <w:t xml:space="preserve">Buyer interest or formal transaction preparation.</w:t>
      </w:r>
    </w:p>
    <w:p>
      <w:pPr>
        <w:pStyle w:val="Compact"/>
        <w:numPr>
          <w:ilvl w:val="0"/>
          <w:numId w:val="1011"/>
        </w:numPr>
      </w:pPr>
      <w:r>
        <w:t xml:space="preserve">Estimated separation costs and stranded overhead.</w:t>
      </w:r>
    </w:p>
    <w:p>
      <w:pPr>
        <w:pStyle w:val="Compact"/>
        <w:numPr>
          <w:ilvl w:val="0"/>
          <w:numId w:val="1011"/>
        </w:numPr>
      </w:pPr>
      <w:r>
        <w:t xml:space="preserve">Capital allocation after a sale or spin.</w:t>
      </w:r>
    </w:p>
    <w:p>
      <w:pPr>
        <w:pStyle w:val="Compact"/>
        <w:numPr>
          <w:ilvl w:val="0"/>
          <w:numId w:val="1011"/>
        </w:numPr>
      </w:pPr>
      <w:r>
        <w:t xml:space="preserve">Whether proceeds would fund debt reduction, buybacks or A&amp;D acquisitions.</w:t>
      </w:r>
    </w:p>
    <w:p>
      <w:pPr>
        <w:pStyle w:val="FirstParagraph"/>
      </w:pPr>
      <w:r>
        <w:t xml:space="preserve">The market may give Textron more credit for the separation if management can provide milestones rather than simply repeat the 12–18-month timeline.</w:t>
      </w:r>
    </w:p>
    <w:p>
      <w:r>
        <w:pict>
          <v:rect style="width:0;height:1.5pt" o:hralign="center" o:hrstd="t" o:hr="t"/>
        </w:pict>
      </w:r>
    </w:p>
    <w:bookmarkEnd w:id="25"/>
    <w:bookmarkStart w:id="26" w:name="cash-flow-and-capital-allocation"/>
    <w:p>
      <w:pPr>
        <w:pStyle w:val="Heading2"/>
      </w:pPr>
      <w:r>
        <w:t xml:space="preserve">Cash flow and capital allocation</w:t>
      </w:r>
    </w:p>
    <w:p>
      <w:pPr>
        <w:pStyle w:val="FirstParagraph"/>
      </w:pPr>
      <w:r>
        <w:t xml:space="preserve">Q1 manufacturing cash flow before pension contributions was a</w:t>
      </w:r>
      <w:r>
        <w:t xml:space="preserve"> </w:t>
      </w:r>
      <w:r>
        <w:rPr>
          <w:b/>
          <w:bCs/>
        </w:rPr>
        <w:t xml:space="preserve">$228 million use of cash</w:t>
      </w:r>
      <w:r>
        <w:t xml:space="preserve">, compared with a $158 million use in Q1 2025. Inventory increased by $289 million, capital expenditures rose to $133 million and Textron repurchased $168 million of stock.</w:t>
      </w:r>
    </w:p>
    <w:p>
      <w:pPr>
        <w:pStyle w:val="BodyText"/>
      </w:pPr>
      <w:r>
        <w:t xml:space="preserve">The weak first-quarter cash number is not unusual for Textron, but the full-year</w:t>
      </w:r>
      <w:r>
        <w:t xml:space="preserve"> </w:t>
      </w:r>
      <m:oMath>
        <m:r>
          <m:t>700</m:t>
        </m:r>
        <m:r>
          <m:rPr>
            <m:sty m:val="p"/>
          </m:rPr>
          <m:t>–</m:t>
        </m:r>
      </m:oMath>
      <w:r>
        <w:t xml:space="preserve">800 million target already reflects approximately $350 million of elevated MV-75 capital expenditures and long-lead material.</w:t>
      </w:r>
    </w:p>
    <w:p>
      <w:pPr>
        <w:pStyle w:val="BodyText"/>
      </w:pPr>
      <w:r>
        <w:t xml:space="preserve">For Q2, watch:</w:t>
      </w:r>
    </w:p>
    <w:p>
      <w:pPr>
        <w:pStyle w:val="Compact"/>
        <w:numPr>
          <w:ilvl w:val="0"/>
          <w:numId w:val="1012"/>
        </w:numPr>
      </w:pPr>
      <w:r>
        <w:t xml:space="preserve">The degree of seasonal working-capital reversal.</w:t>
      </w:r>
    </w:p>
    <w:p>
      <w:pPr>
        <w:pStyle w:val="Compact"/>
        <w:numPr>
          <w:ilvl w:val="0"/>
          <w:numId w:val="1012"/>
        </w:numPr>
      </w:pPr>
      <w:r>
        <w:t xml:space="preserve">Inventory growth, especially at Aviation and Bell.</w:t>
      </w:r>
    </w:p>
    <w:p>
      <w:pPr>
        <w:pStyle w:val="Compact"/>
        <w:numPr>
          <w:ilvl w:val="0"/>
          <w:numId w:val="1012"/>
        </w:numPr>
      </w:pPr>
      <w:r>
        <w:t xml:space="preserve">Whether the $650 million capital-spending plan changes.</w:t>
      </w:r>
    </w:p>
    <w:p>
      <w:pPr>
        <w:pStyle w:val="Compact"/>
        <w:numPr>
          <w:ilvl w:val="0"/>
          <w:numId w:val="1012"/>
        </w:numPr>
      </w:pPr>
      <w:r>
        <w:t xml:space="preserve">Share repurchase pace during the separation process.</w:t>
      </w:r>
    </w:p>
    <w:p>
      <w:pPr>
        <w:pStyle w:val="Compact"/>
        <w:numPr>
          <w:ilvl w:val="0"/>
          <w:numId w:val="1012"/>
        </w:numPr>
      </w:pPr>
      <w:r>
        <w:t xml:space="preserve">Any incremental transaction expenses.</w:t>
      </w:r>
    </w:p>
    <w:p>
      <w:pPr>
        <w:pStyle w:val="FirstParagraph"/>
      </w:pPr>
      <w:r>
        <w:t xml:space="preserve">Q2 2025 generated $336 million of manufacturing cash flow before pension contributions, providing a useful seasonal comparison. (</w:t>
      </w:r>
      <w:hyperlink r:id="rId14">
        <w:r>
          <w:rPr>
            <w:rStyle w:val="Hyperlink"/>
          </w:rPr>
          <w:t xml:space="preserve">investor.textron.com</w:t>
        </w:r>
      </w:hyperlink>
      <w:r>
        <w:t xml:space="preserve">)</w:t>
      </w:r>
    </w:p>
    <w:p>
      <w:r>
        <w:pict>
          <v:rect style="width:0;height:1.5pt" o:hralign="center" o:hrstd="t" o:hr="t"/>
        </w:pict>
      </w:r>
    </w:p>
    <w:bookmarkEnd w:id="26"/>
    <w:bookmarkStart w:id="30" w:name="Xd1e7ea242731871786f8b6a7362641374968b29"/>
    <w:p>
      <w:pPr>
        <w:pStyle w:val="Heading2"/>
      </w:pPr>
      <w:r>
        <w:t xml:space="preserve">Guidance is more important than the Q2 EPS print</w:t>
      </w:r>
    </w:p>
    <w:bookmarkStart w:id="27" w:name="bullish-outcome"/>
    <w:p>
      <w:pPr>
        <w:pStyle w:val="Heading3"/>
      </w:pPr>
      <w:r>
        <w:t xml:space="preserve">Bullish outcome</w:t>
      </w:r>
    </w:p>
    <w:p>
      <w:pPr>
        <w:pStyle w:val="Compact"/>
        <w:numPr>
          <w:ilvl w:val="0"/>
          <w:numId w:val="1013"/>
        </w:numPr>
      </w:pPr>
      <w:r>
        <w:t xml:space="preserve">Adjusted EPS above roughly $1.55.</w:t>
      </w:r>
    </w:p>
    <w:p>
      <w:pPr>
        <w:pStyle w:val="Compact"/>
        <w:numPr>
          <w:ilvl w:val="0"/>
          <w:numId w:val="1013"/>
        </w:numPr>
      </w:pPr>
      <w:r>
        <w:t xml:space="preserve">Aviation margin above 11% with higher sequential deliveries.</w:t>
      </w:r>
    </w:p>
    <w:p>
      <w:pPr>
        <w:pStyle w:val="Compact"/>
        <w:numPr>
          <w:ilvl w:val="0"/>
          <w:numId w:val="1013"/>
        </w:numPr>
      </w:pPr>
      <w:r>
        <w:t xml:space="preserve">Bell commercial deliveries recover and margin improves materially.</w:t>
      </w:r>
    </w:p>
    <w:p>
      <w:pPr>
        <w:pStyle w:val="Compact"/>
        <w:numPr>
          <w:ilvl w:val="0"/>
          <w:numId w:val="1013"/>
        </w:numPr>
      </w:pPr>
      <w:r>
        <w:t xml:space="preserve">MV-75 fiscal 2026 funding is secured or management is highly confident it is imminent.</w:t>
      </w:r>
    </w:p>
    <w:p>
      <w:pPr>
        <w:pStyle w:val="Compact"/>
        <w:numPr>
          <w:ilvl w:val="0"/>
          <w:numId w:val="1013"/>
        </w:numPr>
      </w:pPr>
      <w:r>
        <w:t xml:space="preserve">Full-year EPS and cash guidance are reiterated with an upward bias.</w:t>
      </w:r>
    </w:p>
    <w:p>
      <w:pPr>
        <w:pStyle w:val="Compact"/>
        <w:numPr>
          <w:ilvl w:val="0"/>
          <w:numId w:val="1013"/>
        </w:numPr>
      </w:pPr>
      <w:r>
        <w:t xml:space="preserve">Industrial separation milestones become more concrete.</w:t>
      </w:r>
    </w:p>
    <w:bookmarkEnd w:id="27"/>
    <w:bookmarkStart w:id="28" w:name="neutral-outcome"/>
    <w:p>
      <w:pPr>
        <w:pStyle w:val="Heading3"/>
      </w:pPr>
      <w:r>
        <w:t xml:space="preserve">Neutral outcome</w:t>
      </w:r>
    </w:p>
    <w:p>
      <w:pPr>
        <w:pStyle w:val="Compact"/>
        <w:numPr>
          <w:ilvl w:val="0"/>
          <w:numId w:val="1014"/>
        </w:numPr>
      </w:pPr>
      <w:r>
        <w:t xml:space="preserve">Revenue and EPS near consensus.</w:t>
      </w:r>
    </w:p>
    <w:p>
      <w:pPr>
        <w:pStyle w:val="Compact"/>
        <w:numPr>
          <w:ilvl w:val="0"/>
          <w:numId w:val="1014"/>
        </w:numPr>
      </w:pPr>
      <w:r>
        <w:t xml:space="preserve">Aviation improves sequentially but remains below its target margin.</w:t>
      </w:r>
    </w:p>
    <w:p>
      <w:pPr>
        <w:pStyle w:val="Compact"/>
        <w:numPr>
          <w:ilvl w:val="0"/>
          <w:numId w:val="1014"/>
        </w:numPr>
      </w:pPr>
      <w:r>
        <w:t xml:space="preserve">Bell recovers modestly.</w:t>
      </w:r>
    </w:p>
    <w:p>
      <w:pPr>
        <w:pStyle w:val="Compact"/>
        <w:numPr>
          <w:ilvl w:val="0"/>
          <w:numId w:val="1014"/>
        </w:numPr>
      </w:pPr>
      <w:r>
        <w:t xml:space="preserve">Guidance is reiterated.</w:t>
      </w:r>
    </w:p>
    <w:p>
      <w:pPr>
        <w:pStyle w:val="Compact"/>
        <w:numPr>
          <w:ilvl w:val="0"/>
          <w:numId w:val="1014"/>
        </w:numPr>
      </w:pPr>
      <w:r>
        <w:t xml:space="preserve">No meaningful separation update.</w:t>
      </w:r>
    </w:p>
    <w:p>
      <w:pPr>
        <w:pStyle w:val="Compact"/>
        <w:numPr>
          <w:ilvl w:val="0"/>
          <w:numId w:val="1014"/>
        </w:numPr>
      </w:pPr>
      <w:r>
        <w:t xml:space="preserve">MV-75 funding remains in process without a stop-work expectation.</w:t>
      </w:r>
    </w:p>
    <w:bookmarkEnd w:id="28"/>
    <w:bookmarkStart w:id="29" w:name="bearish-outcome"/>
    <w:p>
      <w:pPr>
        <w:pStyle w:val="Heading3"/>
      </w:pPr>
      <w:r>
        <w:t xml:space="preserve">Bearish outcome</w:t>
      </w:r>
    </w:p>
    <w:p>
      <w:pPr>
        <w:pStyle w:val="Compact"/>
        <w:numPr>
          <w:ilvl w:val="0"/>
          <w:numId w:val="1015"/>
        </w:numPr>
      </w:pPr>
      <w:r>
        <w:t xml:space="preserve">Aviation deliveries or margins disappoint.</w:t>
      </w:r>
    </w:p>
    <w:p>
      <w:pPr>
        <w:pStyle w:val="Compact"/>
        <w:numPr>
          <w:ilvl w:val="0"/>
          <w:numId w:val="1015"/>
        </w:numPr>
      </w:pPr>
      <w:r>
        <w:t xml:space="preserve">Bell remains near Q1’s 6.7% margin.</w:t>
      </w:r>
    </w:p>
    <w:p>
      <w:pPr>
        <w:pStyle w:val="Compact"/>
        <w:numPr>
          <w:ilvl w:val="0"/>
          <w:numId w:val="1015"/>
        </w:numPr>
      </w:pPr>
      <w:r>
        <w:t xml:space="preserve">Additional MV-75 funding has not been secured and spending reductions are affecting the program.</w:t>
      </w:r>
    </w:p>
    <w:p>
      <w:pPr>
        <w:pStyle w:val="Compact"/>
        <w:numPr>
          <w:ilvl w:val="0"/>
          <w:numId w:val="1015"/>
        </w:numPr>
      </w:pPr>
      <w:r>
        <w:t xml:space="preserve">The anticipated LRIP charge increases or moves into 2026 guidance.</w:t>
      </w:r>
    </w:p>
    <w:p>
      <w:pPr>
        <w:pStyle w:val="Compact"/>
        <w:numPr>
          <w:ilvl w:val="0"/>
          <w:numId w:val="1015"/>
        </w:numPr>
      </w:pPr>
      <w:r>
        <w:t xml:space="preserve">Cash-flow guidance is reduced because of inventory or capital spending.</w:t>
      </w:r>
    </w:p>
    <w:p>
      <w:pPr>
        <w:pStyle w:val="Compact"/>
        <w:numPr>
          <w:ilvl w:val="0"/>
          <w:numId w:val="1015"/>
        </w:numPr>
      </w:pPr>
      <w:r>
        <w:t xml:space="preserve">The Industrial separation timeline becomes less certain.</w:t>
      </w:r>
    </w:p>
    <w:p>
      <w:r>
        <w:pict>
          <v:rect style="width:0;height:1.5pt" o:hralign="center" o:hrstd="t" o:hr="t"/>
        </w:pict>
      </w:r>
    </w:p>
    <w:bookmarkEnd w:id="29"/>
    <w:bookmarkEnd w:id="30"/>
    <w:bookmarkStart w:id="32" w:name="valuation-and-setup"/>
    <w:p>
      <w:pPr>
        <w:pStyle w:val="Heading2"/>
      </w:pPr>
      <w:r>
        <w:t xml:space="preserve">Valuation and setup</w:t>
      </w:r>
    </w:p>
    <w:p>
      <w:pPr>
        <w:pStyle w:val="FirstParagraph"/>
      </w:pPr>
      <w:r>
        <w:t xml:space="preserve">At approximately $96.15, Textron trades at about</w:t>
      </w:r>
      <w:r>
        <w:t xml:space="preserve"> </w:t>
      </w:r>
      <w:r>
        <w:rPr>
          <w:b/>
          <w:bCs/>
        </w:rPr>
        <w:t xml:space="preserve">14.8 times</w:t>
      </w:r>
      <w:r>
        <w:t xml:space="preserve"> </w:t>
      </w:r>
      <w:r>
        <w:t xml:space="preserve">the midpoint of its</w:t>
      </w:r>
      <w:r>
        <w:t xml:space="preserve"> </w:t>
      </w:r>
      <m:oMath>
        <m:r>
          <m:t>6.40</m:t>
        </m:r>
        <m:r>
          <m:rPr>
            <m:sty m:val="p"/>
          </m:rPr>
          <m:t>–</m:t>
        </m:r>
      </m:oMath>
      <w:r>
        <w:t xml:space="preserve">6.60 adjusted EPS guidance. The shares are roughly 7% above their pre-Q1 earnings close, meaning the market has retained much—but not all—of the positive reaction to the Industrial separation announcement.</w:t>
      </w:r>
    </w:p>
    <w:p>
      <w:pPr>
        <w:pStyle w:val="BodyText"/>
      </w:pPr>
      <w:r>
        <w:t xml:space="preserve">Recent earnings reactions have been volatile: the shares rose almost 7% following Q1, but declined after each of the previous three reports. That history suggests investors are sensitive to management’s forward commentary and segment margins, not simply whether EPS exceeds consensus. (</w:t>
      </w:r>
      <w:hyperlink r:id="rId31">
        <w:r>
          <w:rPr>
            <w:rStyle w:val="Hyperlink"/>
          </w:rPr>
          <w:t xml:space="preserve">tipranks.com</w:t>
        </w:r>
      </w:hyperlink>
      <w:r>
        <w:t xml:space="preserve">)</w:t>
      </w:r>
    </w:p>
    <w:bookmarkEnd w:id="32"/>
    <w:bookmarkStart w:id="33" w:name="bottom-line"/>
    <w:p>
      <w:pPr>
        <w:pStyle w:val="Heading2"/>
      </w:pPr>
      <w:r>
        <w:t xml:space="preserve">Bottom line</w:t>
      </w:r>
    </w:p>
    <w:p>
      <w:pPr>
        <w:pStyle w:val="FirstParagraph"/>
      </w:pPr>
      <w:r>
        <w:t xml:space="preserve">The central question is not whether Textron can produce a small Q2 EPS beat. It is whether the company can demonstrate that:</w:t>
      </w:r>
    </w:p>
    <w:p>
      <w:pPr>
        <w:pStyle w:val="Compact"/>
        <w:numPr>
          <w:ilvl w:val="0"/>
          <w:numId w:val="1016"/>
        </w:numPr>
      </w:pPr>
      <w:r>
        <w:rPr>
          <w:b/>
          <w:bCs/>
        </w:rPr>
        <w:t xml:space="preserve">Aviation is converting its $8 billion backlog into higher-margin deliveries.</w:t>
      </w:r>
    </w:p>
    <w:p>
      <w:pPr>
        <w:pStyle w:val="Compact"/>
        <w:numPr>
          <w:ilvl w:val="0"/>
          <w:numId w:val="1016"/>
        </w:numPr>
      </w:pPr>
      <w:r>
        <w:rPr>
          <w:b/>
          <w:bCs/>
        </w:rPr>
        <w:t xml:space="preserve">Bell’s commercial business is recovering quickly enough to offset the lower-margin MV-75 ramp.</w:t>
      </w:r>
    </w:p>
    <w:p>
      <w:pPr>
        <w:pStyle w:val="Compact"/>
        <w:numPr>
          <w:ilvl w:val="0"/>
          <w:numId w:val="1016"/>
        </w:numPr>
      </w:pPr>
      <w:r>
        <w:rPr>
          <w:b/>
          <w:bCs/>
        </w:rPr>
        <w:t xml:space="preserve">MV-75 acceleration remains funded and controlled.</w:t>
      </w:r>
    </w:p>
    <w:p>
      <w:pPr>
        <w:pStyle w:val="Compact"/>
        <w:numPr>
          <w:ilvl w:val="0"/>
          <w:numId w:val="1016"/>
        </w:numPr>
      </w:pPr>
      <w:r>
        <w:rPr>
          <w:b/>
          <w:bCs/>
        </w:rPr>
        <w:t xml:space="preserve">The Industrial separation is becoming an executable transaction rather than a long-dated strategic concept.</w:t>
      </w:r>
    </w:p>
    <w:p>
      <w:pPr>
        <w:pStyle w:val="Compact"/>
        <w:numPr>
          <w:ilvl w:val="0"/>
          <w:numId w:val="1016"/>
        </w:numPr>
      </w:pPr>
      <w:r>
        <w:rPr>
          <w:b/>
          <w:bCs/>
        </w:rPr>
        <w:t xml:space="preserve">Full-year EPS and cash-flow targets remain achievable without relying on an unusually strong fourth quarter.</w:t>
      </w:r>
    </w:p>
    <w:p>
      <w:pPr>
        <w:pStyle w:val="FirstParagraph"/>
      </w:pPr>
      <w:r>
        <w:t xml:space="preserve">Aviation margin improvement and a reassuring MV-75 funding update would be the strongest combination for the stock. An EPS beat driven by below-the-line items, weak Aviation conversion or unresolved Bell funding risk would be far less convincing.</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investor.textron.com/news-releases/news-details/2025/Textron-Reports-Second-Quarter-2025-Results/default.aspx?utm_source=openai" TargetMode="External" /><Relationship Type="http://schemas.openxmlformats.org/officeDocument/2006/relationships/hyperlink" Id="rId24" Target="https://investor.textron.com/news-releases/news-details/2026/Textron-Announces-Intent-to-Separate-its-Industrial-Segment-Enhancing-Strategic-Focus-as-a-Pure-Play-Aerospace-and-Defense-Company/default.aspx?utm_source=openai" TargetMode="External" /><Relationship Type="http://schemas.openxmlformats.org/officeDocument/2006/relationships/hyperlink" Id="rId13" Target="https://investor.textron.com/news-releases/news-details/2026/Textron-Reports-First-Quarter-2026-Results-Announces-Intent-to-Separate-its-Industrial-Segment/default.aspx?utm_source=openai" TargetMode="External" /><Relationship Type="http://schemas.openxmlformats.org/officeDocument/2006/relationships/hyperlink" Id="rId11" Target="https://investor.textron.com/news-releases/news-details/2026/Textron-Reports-Fourth-Quarter-2025-Results-Announces-2026-Financial-Outlook/default.aspx?utm_source=openai" TargetMode="External" /><Relationship Type="http://schemas.openxmlformats.org/officeDocument/2006/relationships/hyperlink" Id="rId18" Target="https://news.bellflight.com/releases/?utm_source=openai" TargetMode="External" /><Relationship Type="http://schemas.openxmlformats.org/officeDocument/2006/relationships/hyperlink" Id="rId10" Target="https://www.marketbeat.com/earnings/reports/2026-7-28-textron-inc-stock/" TargetMode="External" /><Relationship Type="http://schemas.openxmlformats.org/officeDocument/2006/relationships/hyperlink" Id="rId31" Target="https://www.tipranks.com/stocks/txt/earnings" TargetMode="External" /></Relationships>
</file>

<file path=word/_rels/footnotes.xml.rels><?xml version="1.0" encoding="UTF-8"?><Relationships xmlns="http://schemas.openxmlformats.org/package/2006/relationships"><Relationship Type="http://schemas.openxmlformats.org/officeDocument/2006/relationships/hyperlink" Id="rId14" Target="https://investor.textron.com/news-releases/news-details/2025/Textron-Reports-Second-Quarter-2025-Results/default.aspx?utm_source=openai" TargetMode="External" /><Relationship Type="http://schemas.openxmlformats.org/officeDocument/2006/relationships/hyperlink" Id="rId24" Target="https://investor.textron.com/news-releases/news-details/2026/Textron-Announces-Intent-to-Separate-its-Industrial-Segment-Enhancing-Strategic-Focus-as-a-Pure-Play-Aerospace-and-Defense-Company/default.aspx?utm_source=openai" TargetMode="External" /><Relationship Type="http://schemas.openxmlformats.org/officeDocument/2006/relationships/hyperlink" Id="rId13" Target="https://investor.textron.com/news-releases/news-details/2026/Textron-Reports-First-Quarter-2026-Results-Announces-Intent-to-Separate-its-Industrial-Segment/default.aspx?utm_source=openai" TargetMode="External" /><Relationship Type="http://schemas.openxmlformats.org/officeDocument/2006/relationships/hyperlink" Id="rId11" Target="https://investor.textron.com/news-releases/news-details/2026/Textron-Reports-Fourth-Quarter-2025-Results-Announces-2026-Financial-Outlook/default.aspx?utm_source=openai" TargetMode="External" /><Relationship Type="http://schemas.openxmlformats.org/officeDocument/2006/relationships/hyperlink" Id="rId18" Target="https://news.bellflight.com/releases/?utm_source=openai" TargetMode="External" /><Relationship Type="http://schemas.openxmlformats.org/officeDocument/2006/relationships/hyperlink" Id="rId10" Target="https://www.marketbeat.com/earnings/reports/2026-7-28-textron-inc-stock/" TargetMode="External" /><Relationship Type="http://schemas.openxmlformats.org/officeDocument/2006/relationships/hyperlink" Id="rId31" Target="https://www.tipranks.com/stocks/txt/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2026-07-28T00:08:33Z</dcterms:created>
  <dcterms:modified xsi:type="dcterms:W3CDTF">2026-07-28T00:08:33Z</dcterms:modified>
</cp:coreProperties>
</file>

<file path=docProps/custom.xml><?xml version="1.0" encoding="utf-8"?>
<Properties xmlns="http://schemas.openxmlformats.org/officeDocument/2006/custom-properties" xmlns:vt="http://schemas.openxmlformats.org/officeDocument/2006/docPropsVTypes"/>
</file>