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xt-earnings-predictions--2026-07-28"/>
    <w:p>
      <w:pPr>
        <w:pStyle w:val="Heading1"/>
      </w:pPr>
      <w:r>
        <w:t xml:space="preserve">TXT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~$1.70 vs. cons $1.59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Textron Aviation segment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~12.1% vs. cons 11.8%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Bell segment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~7.6% vs. cons 7.9%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6.40</m:t>
              </m:r>
              <m:r>
                <m:rPr>
                  <m:sty m:val="p"/>
                </m:rPr>
                <m:t>−</m:t>
              </m:r>
            </m:oMath>
            <w:r>
              <w:t xml:space="preserve">6.60 vs. cons $6.54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manufacturing cash flow before pension contributions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700</m:t>
              </m:r>
              <m:r>
                <m:rPr>
                  <m:sty m:val="p"/>
                </m:rPr>
                <m:t>−</m:t>
              </m:r>
            </m:oMath>
            <w:r>
              <w:t xml:space="preserve">800M vs. cons $750M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Bell segment-margin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~8.0%-9.0% vs. cons 8.5%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EPS and Aviation-margin upside should support an initial ~2.5% residual gain, but unchanged ~</w:t>
            </w:r>
            <m:oMath>
              <m:r>
                <m:t>6.40</m:t>
              </m:r>
              <m:r>
                <m:rPr>
                  <m:sty m:val="p"/>
                </m:rPr>
                <m:t>−</m:t>
              </m:r>
            </m:oMath>
            <w:r>
              <w:t xml:space="preserve">6.60 FY2026 EPS guidance versus ~$6.54 consensus and a ~7.6% Bell margin versus ~7.9% consensus leave out-period estimates largely unchanged; the initial move fades toward ~1.2%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2026-07-28T00:07:31Z</dcterms:created>
  <dcterms:modified xsi:type="dcterms:W3CDTF">2026-07-28T00:07:31Z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