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extron-nyse-txt--2q26-earnings-preview"/>
    <w:p>
      <w:pPr>
        <w:pStyle w:val="Heading1"/>
      </w:pPr>
      <w:r>
        <w:t xml:space="preserve">Textron (NYSE: TXT) — 2Q26 Earnings Preview</w:t>
      </w:r>
    </w:p>
    <w:p>
      <w:pPr>
        <w:pStyle w:val="FirstParagraph"/>
      </w:pPr>
      <w:r>
        <w:rPr>
          <w:b/>
          <w:bCs/>
        </w:rPr>
        <w:t xml:space="preserve">Report date:</w:t>
      </w:r>
      <w:r>
        <w:t xml:space="preserve"> </w:t>
      </w:r>
      <w:r>
        <w:t xml:space="preserve">Tuesday morning,</w:t>
      </w:r>
      <w:r>
        <w:t xml:space="preserve"> </w:t>
      </w:r>
      <w:r>
        <w:rPr>
          <w:b/>
          <w:bCs/>
        </w:rPr>
        <w:t xml:space="preserve">July 28, 2026</w:t>
      </w:r>
      <w:r>
        <w:br/>
      </w:r>
      <w:r>
        <w:rPr>
          <w:b/>
          <w:bCs/>
        </w:rPr>
        <w:t xml:space="preserve">Conference call:</w:t>
      </w:r>
      <w:r>
        <w:t xml:space="preserve"> </w:t>
      </w:r>
      <w:r>
        <w:rPr>
          <w:b/>
          <w:bCs/>
        </w:rPr>
        <w:t xml:space="preserve">8:00 a.m. ET</w:t>
      </w:r>
      <w:r>
        <w:br/>
      </w:r>
      <w:r>
        <w:rPr>
          <w:b/>
          <w:bCs/>
        </w:rPr>
        <w:t xml:space="preserve">Core view:</w:t>
      </w:r>
      <w:r>
        <w:t xml:space="preserve"> </w:t>
      </w:r>
      <w:r>
        <w:t xml:space="preserve">Textron enters 2Q with healthy aerospace/defense demand, a large and growing Aerospace &amp; Defense backlog, and a clear setup for sequential operating improvement. The principal earnings debate is less about top-line demand than execution: Aviation delivery cadence and margins, Bell’s commercial-helicopter recovery and MV-75 funding/ramp, cash conversion, and whether management provides a more concrete update on separating Industrial.</w:t>
      </w:r>
    </w:p>
    <w:bookmarkStart w:id="9" w:name="what-matters-most"/>
    <w:p>
      <w:pPr>
        <w:pStyle w:val="Heading2"/>
      </w:pPr>
      <w:r>
        <w:t xml:space="preserve">What matters most</w:t>
      </w:r>
    </w:p>
    <w:p>
      <w:pPr>
        <w:numPr>
          <w:ilvl w:val="0"/>
          <w:numId w:val="1001"/>
        </w:numPr>
      </w:pPr>
      <w:r>
        <w:rPr>
          <w:b/>
          <w:bCs/>
        </w:rPr>
        <w:t xml:space="preserve">Can Aviation translate strong demand into higher deliveries and margins?</w:t>
      </w:r>
      <w:r>
        <w:br/>
      </w:r>
      <w:r>
        <w:t xml:space="preserve">In 1Q, Aviation revenue rose 22% year over year to $1.49 billion, driven by higher jet and turboprop volume, while segment margin reached 10.4%. Management said deliveries should increase sequentially through 2026, with margin improvement each quarter and the highest margin in 4Q. That makes 2Q an important early proof point for the expected ramp.</w:t>
      </w:r>
    </w:p>
    <w:p>
      <w:pPr>
        <w:numPr>
          <w:ilvl w:val="0"/>
          <w:numId w:val="1001"/>
        </w:numPr>
      </w:pPr>
      <w:r>
        <w:rPr>
          <w:b/>
          <w:bCs/>
        </w:rPr>
        <w:t xml:space="preserve">Bell has the biggest earnings sensitivity.</w:t>
      </w:r>
      <w:r>
        <w:br/>
      </w:r>
      <w:r>
        <w:t xml:space="preserve">Bell’s 1Q revenue grew 9%, supported by MV-75 Cheyenne activity, but segment profit fell 20% to $72 million as military mix shifted unfavorably and commercial helicopter volume/mix declined. Investors will focus on the recovery in commercial deliveries, progress toward the 8%–9% full-year Bell margin outlook, and any evidence that incremental MV-75 acceleration funding is moving from discussion to revenue.</w:t>
      </w:r>
    </w:p>
    <w:p>
      <w:pPr>
        <w:numPr>
          <w:ilvl w:val="0"/>
          <w:numId w:val="1001"/>
        </w:numPr>
      </w:pPr>
      <w:r>
        <w:rPr>
          <w:b/>
          <w:bCs/>
        </w:rPr>
        <w:t xml:space="preserve">The Industrial separation is the major strategic catalyst—but remains unresolved.</w:t>
      </w:r>
      <w:r>
        <w:br/>
      </w:r>
      <w:r>
        <w:t xml:space="preserve">Management is evaluating a sale, a tax-free spin, or potentially separate transactions for Kautex and Textron Specialized Vehicles. The stated target is completion within 12–18 months from the April 30 announcement. A substantive update on structure, timing, tax treatment, stranded costs, or buyer interest would likely matter more for the stock than a modest quarterly EPS variance.</w:t>
      </w:r>
    </w:p>
    <w:p>
      <w:pPr>
        <w:numPr>
          <w:ilvl w:val="0"/>
          <w:numId w:val="1001"/>
        </w:numPr>
      </w:pPr>
      <w:r>
        <w:rPr>
          <w:b/>
          <w:bCs/>
        </w:rPr>
        <w:t xml:space="preserve">Guidance is likely the key stock-moving output.</w:t>
      </w:r>
      <w:r>
        <w:br/>
      </w:r>
      <w:r>
        <w:t xml:space="preserve">Textron reaffirmed 2026 adjusted EPS guidance of</w:t>
      </w:r>
      <w:r>
        <w:t xml:space="preserve"> </w:t>
      </w:r>
      <m:oMath>
        <m:r>
          <m:t>6.40</m:t>
        </m:r>
        <m:r>
          <m:rPr>
            <m:sty m:val="p"/>
          </m:rPr>
          <m:t>–</m:t>
        </m:r>
      </m:oMath>
      <w:r>
        <w:rPr>
          <w:b/>
          <w:bCs/>
        </w:rPr>
        <w:t xml:space="preserve">6.60</w:t>
      </w:r>
      <w:r>
        <w:t xml:space="preserve"> </w:t>
      </w:r>
      <w:r>
        <w:t xml:space="preserve">and manufacturing cash flow before pension contributions of</w:t>
      </w:r>
      <w:r>
        <w:t xml:space="preserve"> </w:t>
      </w:r>
      <m:oMath>
        <m:r>
          <m:t>700</m:t>
        </m:r>
        <m:r>
          <m:rPr>
            <m:sty m:val="p"/>
          </m:rPr>
          <m:t>–</m:t>
        </m:r>
      </m:oMath>
      <w:r>
        <w:rPr>
          <w:b/>
          <w:bCs/>
        </w:rPr>
        <w:t xml:space="preserve">800 million</w:t>
      </w:r>
      <w:r>
        <w:t xml:space="preserve"> </w:t>
      </w:r>
      <w:r>
        <w:t xml:space="preserve">after 1Q. The report needs to demonstrate that early-year execution, inventory investment, and Bell margin pressure do not jeopardize those targets.</w:t>
      </w:r>
    </w:p>
    <w:p>
      <w:r>
        <w:pict>
          <v:rect style="width:0;height:1.5pt" o:hralign="center" o:hrstd="t" o:hr="t"/>
        </w:pict>
      </w:r>
    </w:p>
    <w:bookmarkEnd w:id="9"/>
    <w:bookmarkStart w:id="10" w:name="X019e0c0aeb44c4933638ea10f86a59716992fb0"/>
    <w:p>
      <w:pPr>
        <w:pStyle w:val="Heading2"/>
      </w:pPr>
      <w:r>
        <w:t xml:space="preserve">Starting point: solid 1Q, but with mixed segment quality</w:t>
      </w:r>
    </w:p>
    <w:p>
      <w:pPr>
        <w:pStyle w:val="FirstParagraph"/>
      </w:pPr>
      <w:r>
        <w:t xml:space="preserve">Textron’s 1Q26 adjusted EPS was</w:t>
      </w:r>
      <w:r>
        <w:t xml:space="preserve"> </w:t>
      </w:r>
      <w:r>
        <w:rPr>
          <w:b/>
          <w:bCs/>
        </w:rPr>
        <w:t xml:space="preserve">$1.45</w:t>
      </w:r>
      <w:r>
        <w:t xml:space="preserve">, up from</w:t>
      </w:r>
      <w:r>
        <w:t xml:space="preserve"> </w:t>
      </w:r>
      <m:oMath>
        <m:r>
          <m:t>1.28</m:t>
        </m:r>
        <m:r>
          <m:t>a</m:t>
        </m:r>
        <m:r>
          <m:t>y</m:t>
        </m:r>
        <m:r>
          <m:t>e</m:t>
        </m:r>
        <m:r>
          <m:t>a</m:t>
        </m:r>
        <m:r>
          <m:t>r</m:t>
        </m:r>
        <m:r>
          <m:t>e</m:t>
        </m:r>
        <m:r>
          <m:t>a</m:t>
        </m:r>
        <m:r>
          <m:t>r</m:t>
        </m:r>
        <m:r>
          <m:t>l</m:t>
        </m:r>
        <m:r>
          <m:t>i</m:t>
        </m:r>
        <m:r>
          <m:t>e</m:t>
        </m:r>
        <m:r>
          <m:t>r</m:t>
        </m:r>
        <m:r>
          <m:rPr>
            <m:sty m:val="p"/>
          </m:rPr>
          <m:t>,</m:t>
        </m:r>
        <m:r>
          <m:t>o</m:t>
        </m:r>
        <m:r>
          <m:t>n</m:t>
        </m:r>
        <m:r>
          <m:t>r</m:t>
        </m:r>
        <m:r>
          <m:t>e</m:t>
        </m:r>
        <m:r>
          <m:t>v</m:t>
        </m:r>
        <m:r>
          <m:t>e</m:t>
        </m:r>
        <m:r>
          <m:t>n</m:t>
        </m:r>
        <m:r>
          <m:t>u</m:t>
        </m:r>
        <m:r>
          <m:t>e</m:t>
        </m:r>
        <m:r>
          <m:t>g</m:t>
        </m:r>
        <m:r>
          <m:t>r</m:t>
        </m:r>
        <m:r>
          <m:t>o</m:t>
        </m:r>
        <m:r>
          <m:t>w</m:t>
        </m:r>
        <m:r>
          <m:t>t</m:t>
        </m:r>
        <m:r>
          <m:t>h</m:t>
        </m:r>
        <m:r>
          <m:t>o</m:t>
        </m:r>
        <m:r>
          <m:t>f</m:t>
        </m:r>
        <m:r>
          <m:rPr>
            <m:sty m:val="p"/>
          </m:rPr>
          <m:t>*</m:t>
        </m:r>
        <m:r>
          <m:rPr>
            <m:sty m:val="p"/>
          </m:rPr>
          <m:t>*</m:t>
        </m:r>
        <m:r>
          <m:t>12</m:t>
        </m:r>
      </m:oMath>
      <w:r>
        <w:t xml:space="preserve">3.70 billion**. Manufacturing segment profit increased 10% to</w:t>
      </w:r>
      <w:r>
        <w:t xml:space="preserve"> </w:t>
      </w:r>
      <w:r>
        <w:rPr>
          <w:b/>
          <w:bCs/>
        </w:rPr>
        <w:t xml:space="preserve">$308 million</w:t>
      </w:r>
      <w:r>
        <w:t xml:space="preserve">. The underlying picture was constructive: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Segment</w:t>
            </w:r>
          </w:p>
        </w:tc>
        <w:tc>
          <w:tcPr/>
          <w:p>
            <w:pPr>
              <w:pStyle w:val="Compact"/>
              <w:jc w:val="right"/>
            </w:pPr>
            <w:r>
              <w:t xml:space="preserve">1Q26 revenue</w:t>
            </w:r>
          </w:p>
        </w:tc>
        <w:tc>
          <w:tcPr/>
          <w:p>
            <w:pPr>
              <w:pStyle w:val="Compact"/>
              <w:jc w:val="right"/>
            </w:pPr>
            <w:r>
              <w:t xml:space="preserve">YoY growth</w:t>
            </w:r>
          </w:p>
        </w:tc>
        <w:tc>
          <w:tcPr/>
          <w:p>
            <w:pPr>
              <w:pStyle w:val="Compact"/>
              <w:jc w:val="right"/>
            </w:pPr>
            <w:r>
              <w:t xml:space="preserve">1Q26 segment profit</w:t>
            </w:r>
          </w:p>
        </w:tc>
        <w:tc>
          <w:tcPr/>
          <w:p>
            <w:pPr>
              <w:pStyle w:val="Compact"/>
            </w:pPr>
            <w:r>
              <w:t xml:space="preserve">Key takeaway into 2Q</w:t>
            </w:r>
          </w:p>
        </w:tc>
      </w:tr>
      <w:tr>
        <w:tc>
          <w:tcPr/>
          <w:p>
            <w:pPr>
              <w:pStyle w:val="Compact"/>
            </w:pPr>
            <w:r>
              <w:t xml:space="preserve">Textron Aviation</w:t>
            </w:r>
          </w:p>
        </w:tc>
        <w:tc>
          <w:tcPr/>
          <w:p>
            <w:pPr>
              <w:pStyle w:val="Compact"/>
              <w:jc w:val="right"/>
            </w:pPr>
            <w:r>
              <w:t xml:space="preserve">$1.49B</w:t>
            </w:r>
          </w:p>
        </w:tc>
        <w:tc>
          <w:tcPr/>
          <w:p>
            <w:pPr>
              <w:pStyle w:val="Compact"/>
              <w:jc w:val="right"/>
            </w:pPr>
            <w:r>
              <w:t xml:space="preserve">+22%</w:t>
            </w:r>
          </w:p>
        </w:tc>
        <w:tc>
          <w:tcPr/>
          <w:p>
            <w:pPr>
              <w:pStyle w:val="Compact"/>
              <w:jc w:val="right"/>
            </w:pPr>
            <w:r>
              <w:t xml:space="preserve">$154M</w:t>
            </w:r>
          </w:p>
        </w:tc>
        <w:tc>
          <w:tcPr/>
          <w:p>
            <w:pPr>
              <w:pStyle w:val="Compact"/>
            </w:pPr>
            <w:r>
              <w:t xml:space="preserve">Strong delivery and aftermarket momentum; operational ramp is the focus</w:t>
            </w:r>
          </w:p>
        </w:tc>
      </w:tr>
      <w:tr>
        <w:tc>
          <w:tcPr/>
          <w:p>
            <w:pPr>
              <w:pStyle w:val="Compact"/>
            </w:pPr>
            <w:r>
              <w:t xml:space="preserve">Bell</w:t>
            </w:r>
          </w:p>
        </w:tc>
        <w:tc>
          <w:tcPr/>
          <w:p>
            <w:pPr>
              <w:pStyle w:val="Compact"/>
              <w:jc w:val="right"/>
            </w:pPr>
            <w:r>
              <w:t xml:space="preserve">$1.07B</w:t>
            </w:r>
          </w:p>
        </w:tc>
        <w:tc>
          <w:tcPr/>
          <w:p>
            <w:pPr>
              <w:pStyle w:val="Compact"/>
              <w:jc w:val="right"/>
            </w:pPr>
            <w:r>
              <w:t xml:space="preserve">+9%</w:t>
            </w:r>
          </w:p>
        </w:tc>
        <w:tc>
          <w:tcPr/>
          <w:p>
            <w:pPr>
              <w:pStyle w:val="Compact"/>
              <w:jc w:val="right"/>
            </w:pPr>
            <w:r>
              <w:t xml:space="preserve">$72M</w:t>
            </w:r>
          </w:p>
        </w:tc>
        <w:tc>
          <w:tcPr/>
          <w:p>
            <w:pPr>
              <w:pStyle w:val="Compact"/>
            </w:pPr>
            <w:r>
              <w:t xml:space="preserve">MV-75 growth offset by weaker commercial mix and legacy-program pressure</w:t>
            </w:r>
          </w:p>
        </w:tc>
      </w:tr>
      <w:tr>
        <w:tc>
          <w:tcPr/>
          <w:p>
            <w:pPr>
              <w:pStyle w:val="Compact"/>
            </w:pPr>
            <w:r>
              <w:t xml:space="preserve">Textron Systems</w:t>
            </w:r>
          </w:p>
        </w:tc>
        <w:tc>
          <w:tcPr/>
          <w:p>
            <w:pPr>
              <w:pStyle w:val="Compact"/>
              <w:jc w:val="right"/>
            </w:pPr>
            <w:r>
              <w:t xml:space="preserve">$338M</w:t>
            </w:r>
          </w:p>
        </w:tc>
        <w:tc>
          <w:tcPr/>
          <w:p>
            <w:pPr>
              <w:pStyle w:val="Compact"/>
              <w:jc w:val="right"/>
            </w:pPr>
            <w:r>
              <w:t xml:space="preserve">+13%</w:t>
            </w:r>
          </w:p>
        </w:tc>
        <w:tc>
          <w:tcPr/>
          <w:p>
            <w:pPr>
              <w:pStyle w:val="Compact"/>
              <w:jc w:val="right"/>
            </w:pPr>
            <w:r>
              <w:t xml:space="preserve">$42M</w:t>
            </w:r>
          </w:p>
        </w:tc>
        <w:tc>
          <w:tcPr/>
          <w:p>
            <w:pPr>
              <w:pStyle w:val="Compact"/>
            </w:pPr>
            <w:r>
              <w:t xml:space="preserve">Solid program execution, led by Ship-to-Shore Connector and ATAC</w:t>
            </w:r>
          </w:p>
        </w:tc>
      </w:tr>
      <w:tr>
        <w:tc>
          <w:tcPr/>
          <w:p>
            <w:pPr>
              <w:pStyle w:val="Compact"/>
            </w:pPr>
            <w:r>
              <w:t xml:space="preserve">Industrial</w:t>
            </w:r>
          </w:p>
        </w:tc>
        <w:tc>
          <w:tcPr/>
          <w:p>
            <w:pPr>
              <w:pStyle w:val="Compact"/>
              <w:jc w:val="right"/>
            </w:pPr>
            <w:r>
              <w:t xml:space="preserve">$786M</w:t>
            </w:r>
          </w:p>
        </w:tc>
        <w:tc>
          <w:tcPr/>
          <w:p>
            <w:pPr>
              <w:pStyle w:val="Compact"/>
              <w:jc w:val="right"/>
            </w:pPr>
            <w:r>
              <w:t xml:space="preserve">-1%</w:t>
            </w:r>
          </w:p>
        </w:tc>
        <w:tc>
          <w:tcPr/>
          <w:p>
            <w:pPr>
              <w:pStyle w:val="Compact"/>
              <w:jc w:val="right"/>
            </w:pPr>
            <w:r>
              <w:t xml:space="preserve">$40M</w:t>
            </w:r>
          </w:p>
        </w:tc>
        <w:tc>
          <w:tcPr/>
          <w:p>
            <w:pPr>
              <w:pStyle w:val="Compact"/>
            </w:pPr>
            <w:r>
              <w:t xml:space="preserve">Improved profitability; strategic separation is more important than reported growth</w:t>
            </w:r>
          </w:p>
        </w:tc>
      </w:tr>
    </w:tbl>
    <w:p>
      <w:pPr>
        <w:pStyle w:val="BodyText"/>
      </w:pPr>
      <w:r>
        <w:t xml:space="preserve">Aviation and Systems delivered the cleanest 1Q setup. Bell delivered growth but also highlighted the risk that developmental military-program mix can dilute margins before higher-rate production and commercial deliveries normalize.</w:t>
      </w:r>
    </w:p>
    <w:p>
      <w:r>
        <w:pict>
          <v:rect style="width:0;height:1.5pt" o:hralign="center" o:hrstd="t" o:hr="t"/>
        </w:pict>
      </w:r>
    </w:p>
    <w:bookmarkEnd w:id="10"/>
    <w:bookmarkStart w:id="11" w:name="X56353fc0f4d184f1735448543869e5d96774f23"/>
    <w:p>
      <w:pPr>
        <w:pStyle w:val="Heading2"/>
      </w:pPr>
      <w:r>
        <w:t xml:space="preserve">2Q comparison framework</w:t>
      </w:r>
    </w:p>
    <w:p>
      <w:pPr>
        <w:pStyle w:val="FirstParagraph"/>
      </w:pPr>
      <w:r>
        <w:t xml:space="preserve">The year-ago quarter provides a useful, though imperfect, baseline because Textron has since folded eAviation into Aviation, Systems, and Corporate.</w:t>
      </w:r>
    </w:p>
    <w:p>
      <w:pPr>
        <w:pStyle w:val="BodyText"/>
      </w:pPr>
      <w:r>
        <w:t xml:space="preserve">In</w:t>
      </w:r>
      <w:r>
        <w:t xml:space="preserve"> </w:t>
      </w:r>
      <w:r>
        <w:rPr>
          <w:b/>
          <w:bCs/>
        </w:rPr>
        <w:t xml:space="preserve">2Q25</w:t>
      </w:r>
      <w:r>
        <w:t xml:space="preserve">, Textron reported:</w:t>
      </w:r>
    </w:p>
    <w:p>
      <w:pPr>
        <w:pStyle w:val="Compact"/>
        <w:numPr>
          <w:ilvl w:val="0"/>
          <w:numId w:val="1002"/>
        </w:numPr>
      </w:pPr>
      <w:r>
        <w:rPr>
          <w:b/>
          <w:bCs/>
        </w:rPr>
        <w:t xml:space="preserve">Adjusted EPS:</w:t>
      </w:r>
      <w:r>
        <w:t xml:space="preserve"> </w:t>
      </w:r>
      <w:r>
        <w:t xml:space="preserve">$1.55</w:t>
      </w:r>
    </w:p>
    <w:p>
      <w:pPr>
        <w:pStyle w:val="Compact"/>
        <w:numPr>
          <w:ilvl w:val="0"/>
          <w:numId w:val="1002"/>
        </w:numPr>
      </w:pPr>
      <w:r>
        <w:rPr>
          <w:b/>
          <w:bCs/>
        </w:rPr>
        <w:t xml:space="preserve">Revenue:</w:t>
      </w:r>
      <w:r>
        <w:t xml:space="preserve"> </w:t>
      </w:r>
      <w:r>
        <w:t xml:space="preserve">$3.72 billion</w:t>
      </w:r>
    </w:p>
    <w:p>
      <w:pPr>
        <w:pStyle w:val="Compact"/>
        <w:numPr>
          <w:ilvl w:val="0"/>
          <w:numId w:val="1002"/>
        </w:numPr>
      </w:pPr>
      <w:r>
        <w:rPr>
          <w:b/>
          <w:bCs/>
        </w:rPr>
        <w:t xml:space="preserve">Textron Aviation:</w:t>
      </w:r>
      <w:r>
        <w:t xml:space="preserve"> </w:t>
      </w:r>
      <w:r>
        <w:t xml:space="preserve">$1.52 billion revenue; 49 jets and 34 commercial turboprops delivered; $180 million segment profit</w:t>
      </w:r>
    </w:p>
    <w:p>
      <w:pPr>
        <w:pStyle w:val="Compact"/>
        <w:numPr>
          <w:ilvl w:val="0"/>
          <w:numId w:val="1002"/>
        </w:numPr>
      </w:pPr>
      <w:r>
        <w:rPr>
          <w:b/>
          <w:bCs/>
        </w:rPr>
        <w:t xml:space="preserve">Bell:</w:t>
      </w:r>
      <w:r>
        <w:t xml:space="preserve"> </w:t>
      </w:r>
      <w:r>
        <w:t xml:space="preserve">$1.02 billion revenue; 32 commercial helicopters; $80 million segment profit</w:t>
      </w:r>
    </w:p>
    <w:p>
      <w:pPr>
        <w:pStyle w:val="Compact"/>
        <w:numPr>
          <w:ilvl w:val="0"/>
          <w:numId w:val="1002"/>
        </w:numPr>
      </w:pPr>
      <w:r>
        <w:rPr>
          <w:b/>
          <w:bCs/>
        </w:rPr>
        <w:t xml:space="preserve">Textron Systems:</w:t>
      </w:r>
      <w:r>
        <w:t xml:space="preserve"> </w:t>
      </w:r>
      <w:r>
        <w:t xml:space="preserve">$321 million revenue; $40 million segment profit</w:t>
      </w:r>
    </w:p>
    <w:p>
      <w:pPr>
        <w:pStyle w:val="Compact"/>
        <w:numPr>
          <w:ilvl w:val="0"/>
          <w:numId w:val="1002"/>
        </w:numPr>
      </w:pPr>
      <w:r>
        <w:rPr>
          <w:b/>
          <w:bCs/>
        </w:rPr>
        <w:t xml:space="preserve">Industrial:</w:t>
      </w:r>
      <w:r>
        <w:t xml:space="preserve"> </w:t>
      </w:r>
      <w:r>
        <w:t xml:space="preserve">$839 million revenue; $54 million segment profit</w:t>
      </w:r>
    </w:p>
    <w:p>
      <w:pPr>
        <w:pStyle w:val="Compact"/>
        <w:numPr>
          <w:ilvl w:val="0"/>
          <w:numId w:val="1002"/>
        </w:numPr>
      </w:pPr>
      <w:r>
        <w:rPr>
          <w:b/>
          <w:bCs/>
        </w:rPr>
        <w:t xml:space="preserve">Manufacturing cash flow before pension contributions:</w:t>
      </w:r>
      <w:r>
        <w:t xml:space="preserve"> </w:t>
      </w:r>
      <w:r>
        <w:t xml:space="preserve">$336 million</w:t>
      </w:r>
    </w:p>
    <w:p>
      <w:pPr>
        <w:pStyle w:val="FirstParagraph"/>
      </w:pPr>
      <w:r>
        <w:t xml:space="preserve">The setup suggests a potentially strong revenue comparison in Aviation and Bell, but the more important question is whether profit conversion improves. In particular, Aviation’s 2Q25 profit was pressured by aircraft mix and warranty costs, while Bell’s result included higher R&amp;D spending. Those comparisons could be favorable if 2026 production flow and commercial mix improve as management expects.</w:t>
      </w:r>
    </w:p>
    <w:p>
      <w:r>
        <w:pict>
          <v:rect style="width:0;height:1.5pt" o:hralign="center" o:hrstd="t" o:hr="t"/>
        </w:pict>
      </w:r>
    </w:p>
    <w:bookmarkEnd w:id="11"/>
    <w:bookmarkStart w:id="16" w:name="segment-watchlist"/>
    <w:p>
      <w:pPr>
        <w:pStyle w:val="Heading2"/>
      </w:pPr>
      <w:r>
        <w:t xml:space="preserve">Segment watchlist</w:t>
      </w:r>
    </w:p>
    <w:bookmarkStart w:id="12" w:name="Xbb5e8882a28df62cf7d89fefddfdf92f7c6b169"/>
    <w:p>
      <w:pPr>
        <w:pStyle w:val="Heading3"/>
      </w:pPr>
      <w:r>
        <w:t xml:space="preserve">1. Textron Aviation: the most important near-term execution test</w:t>
      </w:r>
    </w:p>
    <w:p>
      <w:pPr>
        <w:pStyle w:val="FirstParagraph"/>
      </w:pPr>
      <w:r>
        <w:t xml:space="preserve">Aviation ended 1Q with</w:t>
      </w:r>
      <w:r>
        <w:t xml:space="preserve"> </w:t>
      </w:r>
      <w:r>
        <w:rPr>
          <w:b/>
          <w:bCs/>
        </w:rPr>
        <w:t xml:space="preserve">$8.0 billion of backlog</w:t>
      </w:r>
      <w:r>
        <w:t xml:space="preserve">, up $276 million from year-end despite strong deliveries. The segment delivered</w:t>
      </w:r>
      <w:r>
        <w:t xml:space="preserve"> </w:t>
      </w:r>
      <w:r>
        <w:rPr>
          <w:b/>
          <w:bCs/>
        </w:rPr>
        <w:t xml:space="preserve">37 jets</w:t>
      </w:r>
      <w:r>
        <w:t xml:space="preserve"> </w:t>
      </w:r>
      <w:r>
        <w:t xml:space="preserve">and</w:t>
      </w:r>
      <w:r>
        <w:t xml:space="preserve"> </w:t>
      </w:r>
      <w:r>
        <w:rPr>
          <w:b/>
          <w:bCs/>
        </w:rPr>
        <w:t xml:space="preserve">35 commercial turboprops</w:t>
      </w:r>
      <w:r>
        <w:t xml:space="preserve"> </w:t>
      </w:r>
      <w:r>
        <w:t xml:space="preserve">in 1Q, while aftermarket revenue grew 10%.</w:t>
      </w:r>
    </w:p>
    <w:p>
      <w:pPr>
        <w:pStyle w:val="BodyText"/>
      </w:pPr>
      <w:r>
        <w:t xml:space="preserve">Management’s 1Q commentary was unusually explicit:</w:t>
      </w:r>
    </w:p>
    <w:p>
      <w:pPr>
        <w:pStyle w:val="Compact"/>
        <w:numPr>
          <w:ilvl w:val="0"/>
          <w:numId w:val="1003"/>
        </w:numPr>
      </w:pPr>
      <w:r>
        <w:t xml:space="preserve">Deliveries should rise sequentially in each quarter of 2026.</w:t>
      </w:r>
    </w:p>
    <w:p>
      <w:pPr>
        <w:pStyle w:val="Compact"/>
        <w:numPr>
          <w:ilvl w:val="0"/>
          <w:numId w:val="1003"/>
        </w:numPr>
      </w:pPr>
      <w:r>
        <w:t xml:space="preserve">Efficiency should improve through the year, particularly in the second half.</w:t>
      </w:r>
    </w:p>
    <w:p>
      <w:pPr>
        <w:pStyle w:val="Compact"/>
        <w:numPr>
          <w:ilvl w:val="0"/>
          <w:numId w:val="1003"/>
        </w:numPr>
      </w:pPr>
      <w:r>
        <w:t xml:space="preserve">Aviation margin should improve sequentially, peaking in 4Q.</w:t>
      </w:r>
    </w:p>
    <w:p>
      <w:pPr>
        <w:pStyle w:val="Compact"/>
        <w:numPr>
          <w:ilvl w:val="0"/>
          <w:numId w:val="1003"/>
        </w:numPr>
      </w:pPr>
      <w:r>
        <w:t xml:space="preserve">The company sees a sustainable delivery rate around</w:t>
      </w:r>
      <w:r>
        <w:t xml:space="preserve"> </w:t>
      </w:r>
      <w:r>
        <w:rPr>
          <w:b/>
          <w:bCs/>
        </w:rPr>
        <w:t xml:space="preserve">200 aircraft</w:t>
      </w:r>
      <w:r>
        <w:t xml:space="preserve">, rather than stretching production to an aggressive near-term level.</w:t>
      </w:r>
    </w:p>
    <w:p>
      <w:pPr>
        <w:pStyle w:val="Compact"/>
        <w:numPr>
          <w:ilvl w:val="0"/>
          <w:numId w:val="1003"/>
        </w:numPr>
      </w:pPr>
      <w:r>
        <w:t xml:space="preserve">Supply-chain conditions are improving overall, though engines and isolated component disruptions remain active constraints.</w:t>
      </w:r>
    </w:p>
    <w:p>
      <w:pPr>
        <w:pStyle w:val="FirstParagraph"/>
      </w:pPr>
      <w:r>
        <w:rPr>
          <w:b/>
          <w:bCs/>
        </w:rPr>
        <w:t xml:space="preserve">What investors should watch on Tuesday:</w:t>
      </w:r>
    </w:p>
    <w:p>
      <w:pPr>
        <w:pStyle w:val="Compact"/>
        <w:numPr>
          <w:ilvl w:val="0"/>
          <w:numId w:val="1004"/>
        </w:numPr>
      </w:pPr>
      <w:r>
        <w:t xml:space="preserve">Jet and turboprop deliveries versus the 2Q25 base of 49 and 34, respectively.</w:t>
      </w:r>
    </w:p>
    <w:p>
      <w:pPr>
        <w:pStyle w:val="Compact"/>
        <w:numPr>
          <w:ilvl w:val="0"/>
          <w:numId w:val="1004"/>
        </w:numPr>
      </w:pPr>
      <w:r>
        <w:t xml:space="preserve">Aftermarket growth, which is both higher quality and less cyclical than original-equipment deliveries.</w:t>
      </w:r>
    </w:p>
    <w:p>
      <w:pPr>
        <w:pStyle w:val="Compact"/>
        <w:numPr>
          <w:ilvl w:val="0"/>
          <w:numId w:val="1004"/>
        </w:numPr>
      </w:pPr>
      <w:r>
        <w:t xml:space="preserve">Aviation segment margin progression from 10.4% in 1Q.</w:t>
      </w:r>
    </w:p>
    <w:p>
      <w:pPr>
        <w:pStyle w:val="Compact"/>
        <w:numPr>
          <w:ilvl w:val="0"/>
          <w:numId w:val="1004"/>
        </w:numPr>
      </w:pPr>
      <w:r>
        <w:t xml:space="preserve">Backlog movement and order activity, especially given geopolitical uncertainty, higher fuel costs, and elevated interest rates.</w:t>
      </w:r>
    </w:p>
    <w:p>
      <w:pPr>
        <w:pStyle w:val="Compact"/>
        <w:numPr>
          <w:ilvl w:val="0"/>
          <w:numId w:val="1004"/>
        </w:numPr>
      </w:pPr>
      <w:r>
        <w:t xml:space="preserve">Commentary around certification and ramp timing for the Citation Ascend, Beechcraft Denali, and Bell 525 programs.</w:t>
      </w:r>
    </w:p>
    <w:p>
      <w:pPr>
        <w:pStyle w:val="FirstParagraph"/>
      </w:pPr>
      <w:r>
        <w:rPr>
          <w:b/>
          <w:bCs/>
        </w:rPr>
        <w:t xml:space="preserve">Bullish read-through:</w:t>
      </w:r>
      <w:r>
        <w:t xml:space="preserve"> </w:t>
      </w:r>
      <w:r>
        <w:t xml:space="preserve">sequential delivery growth, continued double-digit aftermarket expansion, stable/increasing backlog, and visible margin progression.</w:t>
      </w:r>
      <w:r>
        <w:br/>
      </w:r>
      <w:r>
        <w:rPr>
          <w:b/>
          <w:bCs/>
        </w:rPr>
        <w:t xml:space="preserve">Bearish read-through:</w:t>
      </w:r>
      <w:r>
        <w:t xml:space="preserve"> </w:t>
      </w:r>
      <w:r>
        <w:t xml:space="preserve">delivery timing slips, renewed engine constraints, warranty costs, or a backlog decline that signals softening business-jet demand.</w:t>
      </w:r>
    </w:p>
    <w:p>
      <w:r>
        <w:pict>
          <v:rect style="width:0;height:1.5pt" o:hralign="center" o:hrstd="t" o:hr="t"/>
        </w:pict>
      </w:r>
    </w:p>
    <w:bookmarkEnd w:id="12"/>
    <w:bookmarkStart w:id="13" w:name="X5411758e689602674e7d11db6e199e256fa89d6"/>
    <w:p>
      <w:pPr>
        <w:pStyle w:val="Heading3"/>
      </w:pPr>
      <w:r>
        <w:t xml:space="preserve">2. Bell: MV-75 remains the long-term prize; commercial mix determines the quarter</w:t>
      </w:r>
    </w:p>
    <w:p>
      <w:pPr>
        <w:pStyle w:val="FirstParagraph"/>
      </w:pPr>
      <w:r>
        <w:t xml:space="preserve">Bell’s 1Q performance captured the central tension in the story. Military revenue increased 25%, largely on MV-75 Cheyenne activity, but commercial revenue fell $74 million and segment profit declined to $72 million from $90 million.</w:t>
      </w:r>
    </w:p>
    <w:p>
      <w:pPr>
        <w:pStyle w:val="BodyText"/>
      </w:pPr>
      <w:r>
        <w:t xml:space="preserve">Management expects commercial helicopter deliveries to normalize through the year, with a seasonal peak in 4Q. It also expects Bell’s full-year margin to land at</w:t>
      </w:r>
      <w:r>
        <w:t xml:space="preserve"> </w:t>
      </w:r>
      <w:r>
        <w:rPr>
          <w:b/>
          <w:bCs/>
        </w:rPr>
        <w:t xml:space="preserve">8%–9%</w:t>
      </w:r>
      <w:r>
        <w:t xml:space="preserve">, implying a substantial improvement from the</w:t>
      </w:r>
      <w:r>
        <w:t xml:space="preserve"> </w:t>
      </w:r>
      <w:r>
        <w:rPr>
          <w:b/>
          <w:bCs/>
        </w:rPr>
        <w:t xml:space="preserve">6.7%</w:t>
      </w:r>
      <w:r>
        <w:t xml:space="preserve"> </w:t>
      </w:r>
      <w:r>
        <w:t xml:space="preserve">reported in 1Q.</w:t>
      </w:r>
    </w:p>
    <w:p>
      <w:pPr>
        <w:pStyle w:val="BodyText"/>
      </w:pPr>
      <w:r>
        <w:t xml:space="preserve">The MV-75 remains strategically significant:</w:t>
      </w:r>
    </w:p>
    <w:p>
      <w:pPr>
        <w:pStyle w:val="Compact"/>
        <w:numPr>
          <w:ilvl w:val="0"/>
          <w:numId w:val="1005"/>
        </w:numPr>
      </w:pPr>
      <w:r>
        <w:t xml:space="preserve">Textron is investing ahead of the program’s ramp.</w:t>
      </w:r>
    </w:p>
    <w:p>
      <w:pPr>
        <w:pStyle w:val="Compact"/>
        <w:numPr>
          <w:ilvl w:val="0"/>
          <w:numId w:val="1005"/>
        </w:numPr>
      </w:pPr>
      <w:r>
        <w:t xml:space="preserve">The Army’s FYDP showed funding for the program increasing from</w:t>
      </w:r>
      <w:r>
        <w:t xml:space="preserve"> </w:t>
      </w:r>
      <m:oMath>
        <m:r>
          <m:t>2.3</m:t>
        </m:r>
        <m:r>
          <m:t>b</m:t>
        </m:r>
        <m:r>
          <m:t>i</m:t>
        </m:r>
        <m:r>
          <m:t>l</m:t>
        </m:r>
        <m:r>
          <m:t>l</m:t>
        </m:r>
        <m:r>
          <m:t>i</m:t>
        </m:r>
        <m:r>
          <m:t>o</m:t>
        </m:r>
        <m:r>
          <m:t>n</m:t>
        </m:r>
        <m:r>
          <m:t>i</m:t>
        </m:r>
        <m:r>
          <m:t>n</m:t>
        </m:r>
        <m:r>
          <m:t>F</m:t>
        </m:r>
        <m:r>
          <m:t>Y</m:t>
        </m:r>
        <m:r>
          <m:t>27</m:t>
        </m:r>
        <m:r>
          <m:rPr>
            <m:sty m:val="p"/>
          </m:rPr>
          <m:t>*</m:t>
        </m:r>
        <m:r>
          <m:rPr>
            <m:sty m:val="p"/>
          </m:rPr>
          <m:t>*</m:t>
        </m:r>
        <m:r>
          <m:t>t</m:t>
        </m:r>
        <m:r>
          <m:t>o</m:t>
        </m:r>
        <m:r>
          <m:rPr>
            <m:sty m:val="p"/>
          </m:rPr>
          <m:t>*</m:t>
        </m:r>
        <m:r>
          <m:rPr>
            <m:sty m:val="p"/>
          </m:rPr>
          <m:t>*</m:t>
        </m:r>
      </m:oMath>
      <w:r>
        <w:rPr>
          <w:b/>
          <w:bCs/>
        </w:rPr>
        <w:t xml:space="preserve">3.8 billion in FY31</w:t>
      </w:r>
      <w:r>
        <w:t xml:space="preserve"> </w:t>
      </w:r>
      <w:r>
        <w:t xml:space="preserve">across development and procurement.</w:t>
      </w:r>
    </w:p>
    <w:p>
      <w:pPr>
        <w:pStyle w:val="Compact"/>
        <w:numPr>
          <w:ilvl w:val="0"/>
          <w:numId w:val="1005"/>
        </w:numPr>
      </w:pPr>
      <w:r>
        <w:t xml:space="preserve">Procurement quantities were shown beginning at eight aircraft in FY28 and scaling thereafter.</w:t>
      </w:r>
    </w:p>
    <w:p>
      <w:pPr>
        <w:pStyle w:val="Compact"/>
        <w:numPr>
          <w:ilvl w:val="0"/>
          <w:numId w:val="1005"/>
        </w:numPr>
      </w:pPr>
      <w:r>
        <w:t xml:space="preserve">Management said it still anticipates a potential</w:t>
      </w:r>
      <w:r>
        <w:t xml:space="preserve"> </w:t>
      </w:r>
      <m:oMath>
        <m:r>
          <m:t>60</m:t>
        </m:r>
        <m:r>
          <m:t>m</m:t>
        </m:r>
        <m:r>
          <m:t>i</m:t>
        </m:r>
        <m:r>
          <m:t>l</m:t>
        </m:r>
        <m:r>
          <m:t>l</m:t>
        </m:r>
        <m:r>
          <m:t>i</m:t>
        </m:r>
        <m:r>
          <m:t>o</m:t>
        </m:r>
        <m:r>
          <m:t>n</m:t>
        </m:r>
        <m:r>
          <m:rPr>
            <m:sty m:val="p"/>
          </m:rPr>
          <m:t>–</m:t>
        </m:r>
      </m:oMath>
      <w:r>
        <w:rPr>
          <w:b/>
          <w:bCs/>
        </w:rPr>
        <w:t xml:space="preserve">110 million cumulative catch-up charge</w:t>
      </w:r>
      <w:r>
        <w:t xml:space="preserve"> </w:t>
      </w:r>
      <w:r>
        <w:t xml:space="preserve">when the low-rate initial production contract line is exercised; timing could be as early as 2H26 or slip into 1H27.</w:t>
      </w:r>
    </w:p>
    <w:p>
      <w:pPr>
        <w:pStyle w:val="FirstParagraph"/>
      </w:pPr>
      <w:r>
        <w:rPr>
          <w:b/>
          <w:bCs/>
        </w:rPr>
        <w:t xml:space="preserve">What investors should watch:</w:t>
      </w:r>
    </w:p>
    <w:p>
      <w:pPr>
        <w:pStyle w:val="Compact"/>
        <w:numPr>
          <w:ilvl w:val="0"/>
          <w:numId w:val="1006"/>
        </w:numPr>
      </w:pPr>
      <w:r>
        <w:t xml:space="preserve">Commercial helicopter deliveries versus 32 in 2Q25.</w:t>
      </w:r>
    </w:p>
    <w:p>
      <w:pPr>
        <w:pStyle w:val="Compact"/>
        <w:numPr>
          <w:ilvl w:val="0"/>
          <w:numId w:val="1006"/>
        </w:numPr>
      </w:pPr>
      <w:r>
        <w:t xml:space="preserve">Bell margin trajectory and confidence in the 8%–9% full-year target.</w:t>
      </w:r>
    </w:p>
    <w:p>
      <w:pPr>
        <w:pStyle w:val="Compact"/>
        <w:numPr>
          <w:ilvl w:val="0"/>
          <w:numId w:val="1006"/>
        </w:numPr>
      </w:pPr>
      <w:r>
        <w:t xml:space="preserve">Any confirmation or timing signal on additional FY26 MV-75 acceleration funding.</w:t>
      </w:r>
    </w:p>
    <w:p>
      <w:pPr>
        <w:pStyle w:val="Compact"/>
        <w:numPr>
          <w:ilvl w:val="0"/>
          <w:numId w:val="1006"/>
        </w:numPr>
      </w:pPr>
      <w:r>
        <w:t xml:space="preserve">Progress on the MV-75 critical-design-review milestones and prototype deliveries.</w:t>
      </w:r>
    </w:p>
    <w:p>
      <w:pPr>
        <w:pStyle w:val="Compact"/>
        <w:numPr>
          <w:ilvl w:val="0"/>
          <w:numId w:val="1006"/>
        </w:numPr>
      </w:pPr>
      <w:r>
        <w:t xml:space="preserve">Updates on Flight School Next, where management expected an Army decision by late summer.</w:t>
      </w:r>
    </w:p>
    <w:p>
      <w:pPr>
        <w:pStyle w:val="Compact"/>
        <w:numPr>
          <w:ilvl w:val="0"/>
          <w:numId w:val="1006"/>
        </w:numPr>
      </w:pPr>
      <w:r>
        <w:t xml:space="preserve">Certification, demand, and production-readiness commentary for the Bell 525.</w:t>
      </w:r>
    </w:p>
    <w:p>
      <w:pPr>
        <w:pStyle w:val="FirstParagraph"/>
      </w:pPr>
      <w:r>
        <w:rPr>
          <w:b/>
          <w:bCs/>
        </w:rPr>
        <w:t xml:space="preserve">Key nuance:</w:t>
      </w:r>
      <w:r>
        <w:t xml:space="preserve"> </w:t>
      </w:r>
      <w:r>
        <w:t xml:space="preserve">Higher MV-75 revenue is strategically positive, but it is not necessarily near-term margin accretive. The market will likely reward evidence that commercial recovery plus execution on legacy programs can offset the developmental-program mix burden.</w:t>
      </w:r>
    </w:p>
    <w:p>
      <w:r>
        <w:pict>
          <v:rect style="width:0;height:1.5pt" o:hralign="center" o:hrstd="t" o:hr="t"/>
        </w:pict>
      </w:r>
    </w:p>
    <w:bookmarkEnd w:id="13"/>
    <w:bookmarkStart w:id="14" w:name="Xcb51d6f53c7f59dec9cd46781324a3ff82d5bc0"/>
    <w:p>
      <w:pPr>
        <w:pStyle w:val="Heading3"/>
      </w:pPr>
      <w:r>
        <w:t xml:space="preserve">3. Textron Systems: smaller, but increasingly central to the “New Textron” thesis</w:t>
      </w:r>
    </w:p>
    <w:p>
      <w:pPr>
        <w:pStyle w:val="FirstParagraph"/>
      </w:pPr>
      <w:r>
        <w:t xml:space="preserve">Systems began 2026 well, with revenue up 13%, profit up 11%, and backlog up</w:t>
      </w:r>
      <w:r>
        <w:t xml:space="preserve"> </w:t>
      </w:r>
      <m:oMath>
        <m:r>
          <m:t>255</m:t>
        </m:r>
        <m:r>
          <m:t>m</m:t>
        </m:r>
        <m:r>
          <m:t>i</m:t>
        </m:r>
        <m:r>
          <m:t>l</m:t>
        </m:r>
        <m:r>
          <m:t>l</m:t>
        </m:r>
        <m:r>
          <m:t>i</m:t>
        </m:r>
        <m:r>
          <m:t>o</m:t>
        </m:r>
        <m:r>
          <m:t>n</m:t>
        </m:r>
        <m:r>
          <m:t>s</m:t>
        </m:r>
        <m:r>
          <m:t>e</m:t>
        </m:r>
        <m:r>
          <m:t>q</m:t>
        </m:r>
        <m:r>
          <m:t>u</m:t>
        </m:r>
        <m:r>
          <m:t>e</m:t>
        </m:r>
        <m:r>
          <m:t>n</m:t>
        </m:r>
        <m:r>
          <m:t>t</m:t>
        </m:r>
        <m:r>
          <m:t>i</m:t>
        </m:r>
        <m:r>
          <m:t>a</m:t>
        </m:r>
        <m:r>
          <m:t>l</m:t>
        </m:r>
        <m:r>
          <m:t>l</m:t>
        </m:r>
        <m:r>
          <m:t>y</m:t>
        </m:r>
        <m:r>
          <m:t>t</m:t>
        </m:r>
        <m:r>
          <m:t>o</m:t>
        </m:r>
        <m:r>
          <m:rPr>
            <m:sty m:val="p"/>
          </m:rPr>
          <m:t>*</m:t>
        </m:r>
        <m:r>
          <m:rPr>
            <m:sty m:val="p"/>
          </m:rPr>
          <m:t>*</m:t>
        </m:r>
      </m:oMath>
      <w:r>
        <w:t xml:space="preserve">3.6 billion**. Growth came from Ship-to-Shore Connector and ATAC military training/support activity.</w:t>
      </w:r>
    </w:p>
    <w:p>
      <w:pPr>
        <w:pStyle w:val="BodyText"/>
      </w:pPr>
      <w:r>
        <w:t xml:space="preserve">The broader strategic opportunity is material. Management has identified several potential longer-duration growth vectors:</w:t>
      </w:r>
    </w:p>
    <w:p>
      <w:pPr>
        <w:pStyle w:val="Compact"/>
        <w:numPr>
          <w:ilvl w:val="0"/>
          <w:numId w:val="1007"/>
        </w:numPr>
      </w:pPr>
      <w:r>
        <w:t xml:space="preserve">U.S. Marine Corps</w:t>
      </w:r>
      <w:r>
        <w:t xml:space="preserve"> </w:t>
      </w:r>
      <w:r>
        <w:rPr>
          <w:b/>
          <w:bCs/>
        </w:rPr>
        <w:t xml:space="preserve">Advanced Reconnaissance Vehicle</w:t>
      </w:r>
      <w:r>
        <w:t xml:space="preserve"> </w:t>
      </w:r>
      <w:r>
        <w:t xml:space="preserve">preproduction award;</w:t>
      </w:r>
    </w:p>
    <w:p>
      <w:pPr>
        <w:pStyle w:val="Compact"/>
        <w:numPr>
          <w:ilvl w:val="0"/>
          <w:numId w:val="1007"/>
        </w:numPr>
      </w:pPr>
      <w:r>
        <w:rPr>
          <w:b/>
          <w:bCs/>
        </w:rPr>
        <w:t xml:space="preserve">LASSO</w:t>
      </w:r>
      <w:r>
        <w:t xml:space="preserve"> </w:t>
      </w:r>
      <w:r>
        <w:t xml:space="preserve">loitering-munition prototype work;</w:t>
      </w:r>
    </w:p>
    <w:p>
      <w:pPr>
        <w:pStyle w:val="Compact"/>
        <w:numPr>
          <w:ilvl w:val="0"/>
          <w:numId w:val="1007"/>
        </w:numPr>
      </w:pPr>
      <w:r>
        <w:t xml:space="preserve">Ship-to-Shore Connector and ATAC;</w:t>
      </w:r>
    </w:p>
    <w:p>
      <w:pPr>
        <w:pStyle w:val="Compact"/>
        <w:numPr>
          <w:ilvl w:val="0"/>
          <w:numId w:val="1007"/>
        </w:numPr>
      </w:pPr>
      <w:r>
        <w:t xml:space="preserve">Potential Sentinel-program growth as a key supplier;</w:t>
      </w:r>
    </w:p>
    <w:p>
      <w:pPr>
        <w:pStyle w:val="Compact"/>
        <w:numPr>
          <w:ilvl w:val="0"/>
          <w:numId w:val="1007"/>
        </w:numPr>
      </w:pPr>
      <w:r>
        <w:t xml:space="preserve">Unmanned air, land, and sea platforms; autonomous systems; and advanced materials.</w:t>
      </w:r>
    </w:p>
    <w:p>
      <w:pPr>
        <w:pStyle w:val="FirstParagraph"/>
      </w:pPr>
      <w:r>
        <w:rPr>
          <w:b/>
          <w:bCs/>
        </w:rPr>
        <w:t xml:space="preserve">What matters in 2Q:</w:t>
      </w:r>
      <w:r>
        <w:t xml:space="preserve"> </w:t>
      </w:r>
      <w:r>
        <w:t xml:space="preserve">backlog conversion, margin retention around the 12%-plus level posted in 1Q, and signs that new awards translate into more durable multi-year growth rather than one-off development revenue.</w:t>
      </w:r>
    </w:p>
    <w:p>
      <w:r>
        <w:pict>
          <v:rect style="width:0;height:1.5pt" o:hralign="center" o:hrstd="t" o:hr="t"/>
        </w:pict>
      </w:r>
    </w:p>
    <w:bookmarkEnd w:id="14"/>
    <w:bookmarkStart w:id="15" w:name="Xb6e9619a5d156eee4367889a7d51c40d73279cc"/>
    <w:p>
      <w:pPr>
        <w:pStyle w:val="Heading3"/>
      </w:pPr>
      <w:r>
        <w:t xml:space="preserve">4. Industrial: operating result matters, but separation details matter more</w:t>
      </w:r>
    </w:p>
    <w:p>
      <w:pPr>
        <w:pStyle w:val="FirstParagraph"/>
      </w:pPr>
      <w:r>
        <w:t xml:space="preserve">Industrial’s 1Q profit improved to $40 million from $30 million despite revenue declining 1%. Kautex benefited from foreign exchange and better volume/mix, while Specialized Vehicles absorbed the comparison effect from the April 2025 Powersports sale.</w:t>
      </w:r>
    </w:p>
    <w:p>
      <w:pPr>
        <w:pStyle w:val="BodyText"/>
      </w:pPr>
      <w:r>
        <w:t xml:space="preserve">For this quarter, investors should separate two questions:</w:t>
      </w:r>
    </w:p>
    <w:p>
      <w:pPr>
        <w:pStyle w:val="Compact"/>
        <w:numPr>
          <w:ilvl w:val="0"/>
          <w:numId w:val="1008"/>
        </w:numPr>
      </w:pPr>
      <w:r>
        <w:rPr>
          <w:b/>
          <w:bCs/>
        </w:rPr>
        <w:t xml:space="preserve">Operating:</w:t>
      </w:r>
      <w:r>
        <w:t xml:space="preserve"> </w:t>
      </w:r>
      <w:r>
        <w:t xml:space="preserve">Is Kautex maintaining its improved trajectory, and is Specialized Vehicles benefiting from the expected replacement/lease cycle and market recovery?</w:t>
      </w:r>
    </w:p>
    <w:p>
      <w:pPr>
        <w:pStyle w:val="Compact"/>
        <w:numPr>
          <w:ilvl w:val="0"/>
          <w:numId w:val="1008"/>
        </w:numPr>
      </w:pPr>
      <w:r>
        <w:rPr>
          <w:b/>
          <w:bCs/>
        </w:rPr>
        <w:t xml:space="preserve">Strategic:</w:t>
      </w:r>
      <w:r>
        <w:t xml:space="preserve"> </w:t>
      </w:r>
      <w:r>
        <w:t xml:space="preserve">Is there tangible progress toward a sale or spin?</w:t>
      </w:r>
    </w:p>
    <w:p>
      <w:pPr>
        <w:pStyle w:val="FirstParagraph"/>
      </w:pPr>
      <w:r>
        <w:t xml:space="preserve">Management has said the spin is the “certainty” path, though it takes longer, while a sale—of the businesses together or separately—remains under evaluation. The company has indicated tax leakage and stranded costs should be manageable, with minimal stranded costs expected.</w:t>
      </w:r>
    </w:p>
    <w:p>
      <w:pPr>
        <w:pStyle w:val="BodyText"/>
      </w:pPr>
      <w:r>
        <w:rPr>
          <w:b/>
          <w:bCs/>
        </w:rPr>
        <w:t xml:space="preserve">Potential positive catalysts:</w:t>
      </w:r>
      <w:r>
        <w:t xml:space="preserve"> </w:t>
      </w:r>
      <w:r>
        <w:t xml:space="preserve">a stated transaction structure, buyer interest, a clearer timetable, or more detailed standalone financial information.</w:t>
      </w:r>
      <w:r>
        <w:br/>
      </w:r>
      <w:r>
        <w:rPr>
          <w:b/>
          <w:bCs/>
        </w:rPr>
        <w:t xml:space="preserve">Risk:</w:t>
      </w:r>
      <w:r>
        <w:t xml:space="preserve"> </w:t>
      </w:r>
      <w:r>
        <w:t xml:space="preserve">no update, a delayed schedule, unexpected dis-synergies, or weaker Industrial results that reduce perceived transaction value.</w:t>
      </w:r>
    </w:p>
    <w:p>
      <w:r>
        <w:pict>
          <v:rect style="width:0;height:1.5pt" o:hralign="center" o:hrstd="t" o:hr="t"/>
        </w:pict>
      </w:r>
    </w:p>
    <w:bookmarkEnd w:id="15"/>
    <w:bookmarkEnd w:id="16"/>
    <w:bookmarkStart w:id="17" w:name="X7c5d57be9d25e05488872600c7142b7b166f59b"/>
    <w:p>
      <w:pPr>
        <w:pStyle w:val="Heading2"/>
      </w:pPr>
      <w:r>
        <w:t xml:space="preserve">Cash flow and capital allocation: do not overlook the working-capital test</w:t>
      </w:r>
    </w:p>
    <w:p>
      <w:pPr>
        <w:pStyle w:val="FirstParagraph"/>
      </w:pPr>
      <w:r>
        <w:t xml:space="preserve">Textron’s manufacturing cash flow before pension contributions was a</w:t>
      </w:r>
      <w:r>
        <w:t xml:space="preserve"> </w:t>
      </w:r>
      <w:r>
        <w:rPr>
          <w:b/>
          <w:bCs/>
        </w:rPr>
        <w:t xml:space="preserve">$228 million use</w:t>
      </w:r>
      <w:r>
        <w:t xml:space="preserve"> </w:t>
      </w:r>
      <w:r>
        <w:t xml:space="preserve">in 1Q, worse than the $158 million use a year earlier. That was largely a seasonal and investment-related issue: inventories rose $289 million and capex reached $133 million.</w:t>
      </w:r>
    </w:p>
    <w:p>
      <w:pPr>
        <w:pStyle w:val="BodyText"/>
      </w:pPr>
      <w:r>
        <w:t xml:space="preserve">The full-year cash-flow target remains</w:t>
      </w:r>
      <w:r>
        <w:t xml:space="preserve"> </w:t>
      </w:r>
      <m:oMath>
        <m:r>
          <m:t>700</m:t>
        </m:r>
        <m:r>
          <m:rPr>
            <m:sty m:val="p"/>
          </m:rPr>
          <m:t>–</m:t>
        </m:r>
      </m:oMath>
      <w:r>
        <w:rPr>
          <w:b/>
          <w:bCs/>
        </w:rPr>
        <w:t xml:space="preserve">800 million</w:t>
      </w:r>
      <w:r>
        <w:t xml:space="preserve">, which means the company needs meaningful conversion in the remaining three quarters. The year-ago 2Q demonstrates the normal seasonal inflection: manufacturing cash flow before pension contributions was</w:t>
      </w:r>
      <w:r>
        <w:t xml:space="preserve"> </w:t>
      </w:r>
      <w:r>
        <w:rPr>
          <w:b/>
          <w:bCs/>
        </w:rPr>
        <w:t xml:space="preserve">$336 million</w:t>
      </w:r>
      <w:r>
        <w:t xml:space="preserve"> </w:t>
      </w:r>
      <w:r>
        <w:t xml:space="preserve">in 2Q25.</w:t>
      </w:r>
    </w:p>
    <w:p>
      <w:pPr>
        <w:pStyle w:val="BodyText"/>
      </w:pPr>
      <w:r>
        <w:t xml:space="preserve">The cash-flow questions for 2Q are straightforward:</w:t>
      </w:r>
    </w:p>
    <w:p>
      <w:pPr>
        <w:pStyle w:val="Compact"/>
        <w:numPr>
          <w:ilvl w:val="0"/>
          <w:numId w:val="1009"/>
        </w:numPr>
      </w:pPr>
      <w:r>
        <w:t xml:space="preserve">Does inventory begin to convert into deliveries?</w:t>
      </w:r>
    </w:p>
    <w:p>
      <w:pPr>
        <w:pStyle w:val="Compact"/>
        <w:numPr>
          <w:ilvl w:val="0"/>
          <w:numId w:val="1009"/>
        </w:numPr>
      </w:pPr>
      <w:r>
        <w:t xml:space="preserve">Does capex remain elevated as Textron invests in Aviation factories/supply chain and MV-75 readiness?</w:t>
      </w:r>
    </w:p>
    <w:p>
      <w:pPr>
        <w:pStyle w:val="Compact"/>
        <w:numPr>
          <w:ilvl w:val="0"/>
          <w:numId w:val="1009"/>
        </w:numPr>
      </w:pPr>
      <w:r>
        <w:t xml:space="preserve">Is the full-year</w:t>
      </w:r>
      <w:r>
        <w:t xml:space="preserve"> </w:t>
      </w:r>
      <m:oMath>
        <m:r>
          <m:t>700</m:t>
        </m:r>
        <m:r>
          <m:rPr>
            <m:sty m:val="p"/>
          </m:rPr>
          <m:t>–</m:t>
        </m:r>
      </m:oMath>
      <w:r>
        <w:t xml:space="preserve">800 million target intact?</w:t>
      </w:r>
    </w:p>
    <w:p>
      <w:pPr>
        <w:pStyle w:val="Compact"/>
        <w:numPr>
          <w:ilvl w:val="0"/>
          <w:numId w:val="1009"/>
        </w:numPr>
      </w:pPr>
      <w:r>
        <w:t xml:space="preserve">Does the company continue sizable repurchases while preserving flexibility for the Industrial separation?</w:t>
      </w:r>
    </w:p>
    <w:p>
      <w:pPr>
        <w:pStyle w:val="FirstParagraph"/>
      </w:pPr>
      <w:r>
        <w:t xml:space="preserve">In 1Q, Textron repurchased</w:t>
      </w:r>
      <w:r>
        <w:t xml:space="preserve"> </w:t>
      </w:r>
      <w:r>
        <w:rPr>
          <w:b/>
          <w:bCs/>
        </w:rPr>
        <w:t xml:space="preserve">$168 million</w:t>
      </w:r>
      <w:r>
        <w:t xml:space="preserve"> </w:t>
      </w:r>
      <w:r>
        <w:t xml:space="preserve">of stock. Its willingness to continue repurchases alongside separation preparation will be an informative capital-allocation signal.</w:t>
      </w:r>
    </w:p>
    <w:p>
      <w:r>
        <w:pict>
          <v:rect style="width:0;height:1.5pt" o:hralign="center" o:hrstd="t" o:hr="t"/>
        </w:pict>
      </w:r>
    </w:p>
    <w:bookmarkEnd w:id="17"/>
    <w:bookmarkStart w:id="18" w:name="guidance-the-decisive-scoreboard"/>
    <w:p>
      <w:pPr>
        <w:pStyle w:val="Heading2"/>
      </w:pPr>
      <w:r>
        <w:t xml:space="preserve">Guidance: the decisive scoreboard</w:t>
      </w:r>
    </w:p>
    <w:p>
      <w:pPr>
        <w:pStyle w:val="FirstParagraph"/>
      </w:pPr>
      <w:r>
        <w:t xml:space="preserve">Management’s current 2026 outlook is:</w:t>
      </w:r>
    </w:p>
    <w:p>
      <w:pPr>
        <w:pStyle w:val="Compact"/>
        <w:numPr>
          <w:ilvl w:val="0"/>
          <w:numId w:val="1010"/>
        </w:numPr>
      </w:pPr>
      <w:r>
        <w:rPr>
          <w:b/>
          <w:bCs/>
        </w:rPr>
        <w:t xml:space="preserve">GAAP EPS:</w:t>
      </w:r>
      <w:r>
        <w:t xml:space="preserve"> </w:t>
      </w:r>
      <m:oMath>
        <m:r>
          <m:t>5.39</m:t>
        </m:r>
        <m:r>
          <m:rPr>
            <m:sty m:val="p"/>
          </m:rPr>
          <m:t>–</m:t>
        </m:r>
      </m:oMath>
      <w:r>
        <w:t xml:space="preserve">5.59</w:t>
      </w:r>
    </w:p>
    <w:p>
      <w:pPr>
        <w:pStyle w:val="Compact"/>
        <w:numPr>
          <w:ilvl w:val="0"/>
          <w:numId w:val="1010"/>
        </w:numPr>
      </w:pPr>
      <w:r>
        <w:rPr>
          <w:b/>
          <w:bCs/>
        </w:rPr>
        <w:t xml:space="preserve">Adjusted EPS:</w:t>
      </w:r>
      <w:r>
        <w:t xml:space="preserve"> </w:t>
      </w:r>
      <m:oMath>
        <m:r>
          <m:t>6.40</m:t>
        </m:r>
        <m:r>
          <m:rPr>
            <m:sty m:val="p"/>
          </m:rPr>
          <m:t>–</m:t>
        </m:r>
      </m:oMath>
      <w:r>
        <w:t xml:space="preserve">6.60</w:t>
      </w:r>
    </w:p>
    <w:p>
      <w:pPr>
        <w:pStyle w:val="Compact"/>
        <w:numPr>
          <w:ilvl w:val="0"/>
          <w:numId w:val="1010"/>
        </w:numPr>
      </w:pPr>
      <w:r>
        <w:rPr>
          <w:b/>
          <w:bCs/>
        </w:rPr>
        <w:t xml:space="preserve">Manufacturing cash flow before pension contributions:</w:t>
      </w:r>
      <w:r>
        <w:t xml:space="preserve"> </w:t>
      </w:r>
      <m:oMath>
        <m:r>
          <m:t>700</m:t>
        </m:r>
        <m:r>
          <m:rPr>
            <m:sty m:val="p"/>
          </m:rPr>
          <m:t>–</m:t>
        </m:r>
      </m:oMath>
      <w:r>
        <w:t xml:space="preserve">800 million</w:t>
      </w:r>
    </w:p>
    <w:p>
      <w:pPr>
        <w:pStyle w:val="FirstParagraph"/>
      </w:pPr>
      <w:r>
        <w:t xml:space="preserve">A simple reiteration would likely be acceptable after 1Q, but the market may now expect some degree of confidence-building around the midpoint or upside potential. The case for an increase rests on Aviation execution, sustained commercial order activity, and Systems performance. The case for caution rests on Bell mix, the pending MV-75 catch-up charge, supply-chain variability, tariffs, and macro pressure on discretionary aircraft demand.</w:t>
      </w:r>
    </w:p>
    <w:p>
      <w:r>
        <w:pict>
          <v:rect style="width:0;height:1.5pt" o:hralign="center" o:hrstd="t" o:hr="t"/>
        </w:pict>
      </w:r>
    </w:p>
    <w:bookmarkEnd w:id="18"/>
    <w:bookmarkStart w:id="19" w:name="stock-setup-and-investor-positioning"/>
    <w:p>
      <w:pPr>
        <w:pStyle w:val="Heading2"/>
      </w:pPr>
      <w:r>
        <w:t xml:space="preserve">Stock setup and investor positioning</w:t>
      </w:r>
    </w:p>
    <w:p>
      <w:pPr>
        <w:pStyle w:val="FirstParagraph"/>
      </w:pPr>
      <w:r>
        <w:t xml:space="preserve">TXT closed at</w:t>
      </w:r>
      <w:r>
        <w:t xml:space="preserve"> </w:t>
      </w:r>
      <w:r>
        <w:rPr>
          <w:b/>
          <w:bCs/>
        </w:rPr>
        <w:t xml:space="preserve">$96.15 on July 27</w:t>
      </w:r>
      <w:r>
        <w:t xml:space="preserve">, up about</w:t>
      </w:r>
      <w:r>
        <w:t xml:space="preserve"> </w:t>
      </w:r>
      <w:r>
        <w:rPr>
          <w:b/>
          <w:bCs/>
        </w:rPr>
        <w:t xml:space="preserve">8.7%</w:t>
      </w:r>
      <w:r>
        <w:t xml:space="preserve"> </w:t>
      </w:r>
      <w:r>
        <w:t xml:space="preserve">from $88.48 on April 27, ahead of the first-quarter report and separation announcement. The shares also closed above the $95.96 level reached on April 30. That suggests the market has recognized the strategic value of a cleaner Aerospace &amp; Defense profile, but it also raises the bar for operational follow-through.</w:t>
      </w:r>
    </w:p>
    <w:p>
      <w:pPr>
        <w:pStyle w:val="BodyText"/>
      </w:pPr>
      <w:r>
        <w:t xml:space="preserve">The earnings reaction will likely hinge on the following hierarchy:</w:t>
      </w:r>
    </w:p>
    <w:p>
      <w:pPr>
        <w:pStyle w:val="Compact"/>
        <w:numPr>
          <w:ilvl w:val="0"/>
          <w:numId w:val="1011"/>
        </w:numPr>
      </w:pPr>
      <w:r>
        <w:rPr>
          <w:b/>
          <w:bCs/>
        </w:rPr>
        <w:t xml:space="preserve">2026 EPS and cash-flow guidance</w:t>
      </w:r>
    </w:p>
    <w:p>
      <w:pPr>
        <w:pStyle w:val="Compact"/>
        <w:numPr>
          <w:ilvl w:val="0"/>
          <w:numId w:val="1011"/>
        </w:numPr>
      </w:pPr>
      <w:r>
        <w:rPr>
          <w:b/>
          <w:bCs/>
        </w:rPr>
        <w:t xml:space="preserve">Aviation deliveries, margins, and backlog</w:t>
      </w:r>
    </w:p>
    <w:p>
      <w:pPr>
        <w:pStyle w:val="Compact"/>
        <w:numPr>
          <w:ilvl w:val="0"/>
          <w:numId w:val="1011"/>
        </w:numPr>
      </w:pPr>
      <w:r>
        <w:rPr>
          <w:b/>
          <w:bCs/>
        </w:rPr>
        <w:t xml:space="preserve">Bell commercial recovery and MV-75 funding/ramp commentary</w:t>
      </w:r>
    </w:p>
    <w:p>
      <w:pPr>
        <w:pStyle w:val="Compact"/>
        <w:numPr>
          <w:ilvl w:val="0"/>
          <w:numId w:val="1011"/>
        </w:numPr>
      </w:pPr>
      <w:r>
        <w:rPr>
          <w:b/>
          <w:bCs/>
        </w:rPr>
        <w:t xml:space="preserve">Industrial-separation specifics</w:t>
      </w:r>
    </w:p>
    <w:p>
      <w:pPr>
        <w:pStyle w:val="Compact"/>
        <w:numPr>
          <w:ilvl w:val="0"/>
          <w:numId w:val="1011"/>
        </w:numPr>
      </w:pPr>
      <w:r>
        <w:rPr>
          <w:b/>
          <w:bCs/>
        </w:rPr>
        <w:t xml:space="preserve">Cash conversion and inventory trajectory</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Textron’s 2Q report is an execution checkpoint for a company undergoing a strategic transformation. The strongest elements of the thesis—Aviation backlog, accelerating defense exposure, Systems opportunity, and a potentially value-unlocking Industrial separation—remain intact. But to sustain positive sentiment, management needs to show that Aviation’s operational ramp is real, Bell can recover margins while investing in MV-75, and cash flow is moving toward the full-year target.</w:t>
      </w:r>
    </w:p>
    <w:p>
      <w:pPr>
        <w:pStyle w:val="BodyText"/>
      </w:pPr>
      <w:r>
        <w:rPr>
          <w:b/>
          <w:bCs/>
        </w:rPr>
        <w:t xml:space="preserve">Most constructive outcome:</w:t>
      </w:r>
      <w:r>
        <w:t xml:space="preserve"> </w:t>
      </w:r>
      <w:r>
        <w:t xml:space="preserve">guidance maintained or raised; Aviation shows higher sequential deliveries and margins; Bell commercial deliveries normalize and management reiterates the 8%–9% margin path; Systems backlog remains strong; and Industrial separation commentary becomes more concrete.</w:t>
      </w:r>
    </w:p>
    <w:p>
      <w:pPr>
        <w:pStyle w:val="BodyText"/>
      </w:pPr>
      <w:r>
        <w:rPr>
          <w:b/>
          <w:bCs/>
        </w:rPr>
        <w:t xml:space="preserve">Most negative outcome:</w:t>
      </w:r>
      <w:r>
        <w:t xml:space="preserve"> </w:t>
      </w:r>
      <w:r>
        <w:t xml:space="preserve">Aviation delivery or supply-chain issues, another weak Bell commercial/margin print, lower cash-flow confidence, or a vague/delayed separation update.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2026-07-28T00:07:31Z</dcterms:created>
  <dcterms:modified xsi:type="dcterms:W3CDTF">2026-07-28T00:07:31Z</dcterms:modified>
</cp:coreProperties>
</file>

<file path=docProps/custom.xml><?xml version="1.0" encoding="utf-8"?>
<Properties xmlns="http://schemas.openxmlformats.org/officeDocument/2006/custom-properties" xmlns:vt="http://schemas.openxmlformats.org/officeDocument/2006/docPropsVTypes"/>
</file>