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Textron Inc. (TXT)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Textron Inc. (NYSE: TXT)</w:t>
            </w:r>
          </w:p>
        </w:tc>
      </w:tr>
      <w:tr>
        <w:tc>
          <w:tcPr>
            <w:tcW w:type="dxa" w:w="4320"/>
          </w:tcPr>
          <w:p>
            <w:r>
              <w:rPr>
                <w:rFonts w:ascii="Calibri" w:hAnsi="Calibri"/>
                <w:b/>
                <w:sz w:val="22"/>
              </w:rPr>
              <w:t>Reporting Period</w:t>
            </w:r>
          </w:p>
        </w:tc>
        <w:tc>
          <w:tcPr>
            <w:tcW w:type="dxa" w:w="4320"/>
          </w:tcPr>
          <w:p>
            <w:r>
              <w:rPr>
                <w:rFonts w:ascii="Calibri" w:hAnsi="Calibri"/>
                <w:sz w:val="22"/>
              </w:rPr>
              <w:t>Q2 2026 (quarter ending June 30, 2026)</w:t>
            </w:r>
          </w:p>
        </w:tc>
      </w:tr>
      <w:tr>
        <w:tc>
          <w:tcPr>
            <w:tcW w:type="dxa" w:w="4320"/>
          </w:tcPr>
          <w:p>
            <w:r>
              <w:rPr>
                <w:rFonts w:ascii="Calibri" w:hAnsi="Calibri"/>
                <w:b/>
                <w:sz w:val="22"/>
              </w:rPr>
              <w:t>Earnings Date</w:t>
            </w:r>
          </w:p>
        </w:tc>
        <w:tc>
          <w:tcPr>
            <w:tcW w:type="dxa" w:w="4320"/>
          </w:tcPr>
          <w:p>
            <w:r>
              <w:rPr>
                <w:rFonts w:ascii="Calibri" w:hAnsi="Calibri"/>
                <w:sz w:val="22"/>
              </w:rPr>
              <w:t>July 28, 2026 (before market open)</w:t>
            </w:r>
          </w:p>
        </w:tc>
      </w:tr>
      <w:tr>
        <w:tc>
          <w:tcPr>
            <w:tcW w:type="dxa" w:w="4320"/>
          </w:tcPr>
          <w:p>
            <w:r>
              <w:rPr>
                <w:rFonts w:ascii="Calibri" w:hAnsi="Calibri"/>
                <w:b/>
                <w:sz w:val="22"/>
              </w:rPr>
              <w:t>Prepared</w:t>
            </w:r>
          </w:p>
        </w:tc>
        <w:tc>
          <w:tcPr>
            <w:tcW w:type="dxa" w:w="4320"/>
          </w:tcPr>
          <w:p>
            <w:r>
              <w:rPr>
                <w:rFonts w:ascii="Calibri" w:hAnsi="Calibri"/>
                <w:sz w:val="22"/>
              </w:rPr>
              <w:t>July 27, 2026</w:t>
            </w:r>
          </w:p>
        </w:tc>
      </w:tr>
      <w:tr>
        <w:tc>
          <w:tcPr>
            <w:tcW w:type="dxa" w:w="4320"/>
          </w:tcPr>
          <w:p>
            <w:r>
              <w:rPr>
                <w:rFonts w:ascii="Calibri" w:hAnsi="Calibri"/>
                <w:b/>
                <w:sz w:val="22"/>
              </w:rPr>
              <w:t>Last Earnings</w:t>
            </w:r>
          </w:p>
        </w:tc>
        <w:tc>
          <w:tcPr>
            <w:tcW w:type="dxa" w:w="4320"/>
          </w:tcPr>
          <w:p>
            <w:r>
              <w:rPr>
                <w:rFonts w:ascii="Calibri" w:hAnsi="Calibri"/>
                <w:sz w:val="22"/>
              </w:rPr>
              <w:t>Q1 2026 reported April 30, 2026 (beat on EPS and revenue)</w:t>
            </w:r>
          </w:p>
        </w:tc>
      </w:tr>
      <w:tr>
        <w:tc>
          <w:tcPr>
            <w:tcW w:type="dxa" w:w="4320"/>
          </w:tcPr>
          <w:p>
            <w:r>
              <w:rPr>
                <w:rFonts w:ascii="Calibri" w:hAnsi="Calibri"/>
                <w:b/>
                <w:sz w:val="22"/>
              </w:rPr>
              <w:t>Sector ETF Benchmark</w:t>
            </w:r>
          </w:p>
        </w:tc>
        <w:tc>
          <w:tcPr>
            <w:tcW w:type="dxa" w:w="4320"/>
          </w:tcPr>
          <w:p>
            <w:r>
              <w:rPr>
                <w:rFonts w:ascii="Calibri" w:hAnsi="Calibri"/>
                <w:sz w:val="22"/>
              </w:rPr>
              <w:t>ITA (iShares U.S. Aerospace &amp; Defense ETF)</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is modestly constructive — consensus is a manageable bar after Q1's large beat, but the single biggest swing factor is whether management provides clarity on the </w:t>
      </w:r>
      <w:r>
        <w:rPr>
          <w:rFonts w:ascii="Calibri" w:hAnsi="Calibri"/>
          <w:b/>
          <w:color w:val="525866"/>
          <w:sz w:val="22"/>
        </w:rPr>
        <w:t>MV-75 GFY26 supplemental funding resolution</w:t>
      </w:r>
      <w:r>
        <w:rPr>
          <w:rFonts w:ascii="Calibri" w:hAnsi="Calibri"/>
          <w:color w:val="525866"/>
          <w:sz w:val="22"/>
        </w:rPr>
        <w:t xml:space="preserve"> and the timing of the pending LRIP catch-up charge ($60–$110M).</w:t>
      </w:r>
    </w:p>
    <w:p>
      <w:r>
        <w:rPr>
          <w:rFonts w:ascii="Calibri" w:hAnsi="Calibri"/>
          <w:color w:val="525866"/>
          <w:sz w:val="22"/>
        </w:rPr>
        <w:t xml:space="preserve">Heading into Q2 2026, the bar for TXT looks achievable: consensus EPS of $1.55 represents a modest step-up from Q1's $1.45 actual and is roughly in line with the prior-year Q2 print of $1.55, while revenue consensus of $3.81B implies ~2.6% YoY growth against a tough Q2 2025 comp of $3.72B. </w:t>
      </w:r>
      <w:r>
        <w:rPr>
          <w:rFonts w:ascii="Calibri" w:hAnsi="Calibri"/>
          <w:b/>
          <w:color w:val="525866"/>
          <w:sz w:val="22"/>
        </w:rPr>
        <w:t>Management guided for sequential improvement in Aviation deliveries and margins each quarter through 2026 with a Q4 peak</w:t>
      </w:r>
      <w:r>
        <w:rPr>
          <w:rFonts w:ascii="Calibri" w:hAnsi="Calibri"/>
          <w:color w:val="525866"/>
          <w:sz w:val="22"/>
        </w:rPr>
        <w:t xml:space="preserve">, and Q2 should show a meaningful step-up from Q1's 10.4% Aviation margin as supply chain headwinds ease and delivery cadence improves. The estimate trajectory has been mildly negative — Q2 EPS consensus has drifted from ~$1.55 in August 2025 to $1.55 today, essentially flat, suggesting the Street has not materially re-rated the quarter in either direction. </w:t>
      </w:r>
      <w:r>
        <w:rPr>
          <w:rFonts w:ascii="Calibri" w:hAnsi="Calibri"/>
          <w:b/>
          <w:color w:val="525866"/>
          <w:sz w:val="22"/>
        </w:rPr>
        <w:t>The stock has lagged the A&amp;D sector significantly since Q1 earnings (TXT +0.2% vs. ITA +11.6%)</w:t>
      </w:r>
      <w:r>
        <w:rPr>
          <w:rFonts w:ascii="Calibri" w:hAnsi="Calibri"/>
          <w:color w:val="525866"/>
          <w:sz w:val="22"/>
        </w:rPr>
        <w:t xml:space="preserve">, suggesting the market is still digesting the Industrial separation announcement and MV-75 funding uncertainty rather than pricing in a beat. The key wildcard is the </w:t>
      </w:r>
      <w:r>
        <w:rPr>
          <w:rFonts w:ascii="Calibri" w:hAnsi="Calibri"/>
          <w:b/>
          <w:color w:val="525866"/>
          <w:sz w:val="22"/>
        </w:rPr>
        <w:t>MV-75 LRIP catch-up charge</w:t>
      </w:r>
      <w:r>
        <w:rPr>
          <w:rFonts w:ascii="Calibri" w:hAnsi="Calibri"/>
          <w:color w:val="525866"/>
          <w:sz w:val="22"/>
        </w:rPr>
        <w:t xml:space="preserve"> — management guided it could hit as early as H2 2026, and any Q2 recognition would be a meaningful EPS headwind; conversely, a clean quarter with no charge and positive Army supplemental funding news could be the catalyst to close TXT's discount to A&amp;D peers.</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bar — Q2 EPS of $1.55 is flat YoY and below Q2 2025's actual, while revenue of $3.81B implies modest growth. </w:t>
      </w:r>
      <w:r>
        <w:rPr>
          <w:rFonts w:ascii="Calibri" w:hAnsi="Calibri"/>
          <w:b/>
          <w:color w:val="525866"/>
          <w:sz w:val="22"/>
        </w:rPr>
        <w:t>Aviation segment margin is the bigger swing factor</w:t>
      </w:r>
      <w:r>
        <w:rPr>
          <w:rFonts w:ascii="Calibri" w:hAnsi="Calibri"/>
          <w:color w:val="525866"/>
          <w:sz w:val="22"/>
        </w:rPr>
        <w:t>: management guided for sequential improvement each quarter, and Q2 is the first real test of that cadence after Q1's supply-chain-impacted 10.4% margin.</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Revenue ($B)</w:t>
            </w:r>
          </w:p>
        </w:tc>
        <w:tc>
          <w:tcPr>
            <w:tcW w:type="dxa" w:w="1234"/>
          </w:tcPr>
          <w:p>
            <w:r>
              <w:rPr>
                <w:rFonts w:ascii="Calibri" w:hAnsi="Calibri"/>
                <w:sz w:val="22"/>
              </w:rPr>
              <w:t>$3.695B</w:t>
            </w:r>
          </w:p>
        </w:tc>
        <w:tc>
          <w:tcPr>
            <w:tcW w:type="dxa" w:w="1234"/>
          </w:tcPr>
          <w:p>
            <w:r>
              <w:rPr>
                <w:rFonts w:ascii="Calibri" w:hAnsi="Calibri"/>
                <w:sz w:val="22"/>
              </w:rPr>
              <w:t>$3.716B</w:t>
            </w:r>
          </w:p>
        </w:tc>
        <w:tc>
          <w:tcPr>
            <w:tcW w:type="dxa" w:w="1234"/>
          </w:tcPr>
          <w:p>
            <w:r>
              <w:rPr>
                <w:rFonts w:ascii="Calibri" w:hAnsi="Calibri"/>
                <w:sz w:val="22"/>
              </w:rPr>
              <w:t>$3.813B</w:t>
            </w:r>
          </w:p>
        </w:tc>
        <w:tc>
          <w:tcPr>
            <w:tcW w:type="dxa" w:w="1234"/>
          </w:tcPr>
          <w:p>
            <w:r>
              <w:rPr>
                <w:rFonts w:ascii="Calibri" w:hAnsi="Calibri"/>
                <w:sz w:val="22"/>
              </w:rPr>
              <w:t>+2.6%</w:t>
            </w:r>
          </w:p>
        </w:tc>
        <w:tc>
          <w:tcPr>
            <w:tcW w:type="dxa" w:w="1234"/>
          </w:tcPr>
          <w:p>
            <w:r>
              <w:rPr>
                <w:rFonts w:ascii="Calibri" w:hAnsi="Calibri"/>
                <w:sz w:val="22"/>
              </w:rPr>
              <w:t>No explicit Q2 guidance; FY2026 guide ~$15.6B</w:t>
            </w:r>
          </w:p>
        </w:tc>
        <w:tc>
          <w:tcPr>
            <w:tcW w:type="dxa" w:w="1234"/>
          </w:tcPr>
          <w:p>
            <w:r>
              <w:rPr>
                <w:rFonts w:ascii="Calibri" w:hAnsi="Calibri"/>
                <w:sz w:val="22"/>
              </w:rPr>
              <w:t>~+0.4% vs. FY implied run-rate</w:t>
            </w:r>
          </w:p>
        </w:tc>
      </w:tr>
      <w:tr>
        <w:tc>
          <w:tcPr>
            <w:tcW w:type="dxa" w:w="1234"/>
          </w:tcPr>
          <w:p>
            <w:r>
              <w:rPr>
                <w:rFonts w:ascii="Calibri" w:hAnsi="Calibri"/>
                <w:sz w:val="22"/>
              </w:rPr>
              <w:t>Adj. EPS - Operating ($)</w:t>
            </w:r>
          </w:p>
        </w:tc>
        <w:tc>
          <w:tcPr>
            <w:tcW w:type="dxa" w:w="1234"/>
          </w:tcPr>
          <w:p>
            <w:r>
              <w:rPr>
                <w:rFonts w:ascii="Calibri" w:hAnsi="Calibri"/>
                <w:sz w:val="22"/>
              </w:rPr>
              <w:t>$1.45</w:t>
            </w:r>
          </w:p>
        </w:tc>
        <w:tc>
          <w:tcPr>
            <w:tcW w:type="dxa" w:w="1234"/>
          </w:tcPr>
          <w:p>
            <w:r>
              <w:rPr>
                <w:rFonts w:ascii="Calibri" w:hAnsi="Calibri"/>
                <w:sz w:val="22"/>
              </w:rPr>
              <w:t>$1.55</w:t>
            </w:r>
          </w:p>
        </w:tc>
        <w:tc>
          <w:tcPr>
            <w:tcW w:type="dxa" w:w="1234"/>
          </w:tcPr>
          <w:p>
            <w:r>
              <w:rPr>
                <w:rFonts w:ascii="Calibri" w:hAnsi="Calibri"/>
                <w:sz w:val="22"/>
              </w:rPr>
              <w:t>$1.55</w:t>
            </w:r>
          </w:p>
        </w:tc>
        <w:tc>
          <w:tcPr>
            <w:tcW w:type="dxa" w:w="1234"/>
          </w:tcPr>
          <w:p>
            <w:r>
              <w:rPr>
                <w:rFonts w:ascii="Calibri" w:hAnsi="Calibri"/>
                <w:sz w:val="22"/>
              </w:rPr>
              <w:t>0.0%</w:t>
            </w:r>
          </w:p>
        </w:tc>
        <w:tc>
          <w:tcPr>
            <w:tcW w:type="dxa" w:w="1234"/>
          </w:tcPr>
          <w:p>
            <w:r>
              <w:rPr>
                <w:rFonts w:ascii="Calibri" w:hAnsi="Calibri"/>
                <w:sz w:val="22"/>
              </w:rPr>
              <w:t>FY2026: $6.50 midpoint (reaffirmed)</w:t>
            </w:r>
          </w:p>
        </w:tc>
        <w:tc>
          <w:tcPr>
            <w:tcW w:type="dxa" w:w="1234"/>
          </w:tcPr>
          <w:p>
            <w:r>
              <w:rPr>
                <w:rFonts w:ascii="Calibri" w:hAnsi="Calibri"/>
                <w:sz w:val="22"/>
              </w:rPr>
              <w:t>~+0.3% vs. FY implied run-rate</w:t>
            </w:r>
          </w:p>
        </w:tc>
      </w:tr>
      <w:tr>
        <w:tc>
          <w:tcPr>
            <w:tcW w:type="dxa" w:w="1234"/>
          </w:tcPr>
          <w:p>
            <w:r>
              <w:rPr>
                <w:rFonts w:ascii="Calibri" w:hAnsi="Calibri"/>
                <w:sz w:val="22"/>
              </w:rPr>
              <w:t>Revenue - Textron Aviation ($B)</w:t>
            </w:r>
          </w:p>
        </w:tc>
        <w:tc>
          <w:tcPr>
            <w:tcW w:type="dxa" w:w="1234"/>
          </w:tcPr>
          <w:p>
            <w:r>
              <w:rPr>
                <w:rFonts w:ascii="Calibri" w:hAnsi="Calibri"/>
                <w:sz w:val="22"/>
              </w:rPr>
              <w:t>$1.485B</w:t>
            </w:r>
          </w:p>
        </w:tc>
        <w:tc>
          <w:tcPr>
            <w:tcW w:type="dxa" w:w="1234"/>
          </w:tcPr>
          <w:p>
            <w:r>
              <w:rPr>
                <w:rFonts w:ascii="Calibri" w:hAnsi="Calibri"/>
                <w:sz w:val="22"/>
              </w:rPr>
              <w:t>$1.522B</w:t>
            </w:r>
          </w:p>
        </w:tc>
        <w:tc>
          <w:tcPr>
            <w:tcW w:type="dxa" w:w="1234"/>
          </w:tcPr>
          <w:p>
            <w:r>
              <w:rPr>
                <w:rFonts w:ascii="Calibri" w:hAnsi="Calibri"/>
                <w:sz w:val="22"/>
              </w:rPr>
              <w:t>$1.585B</w:t>
            </w:r>
          </w:p>
        </w:tc>
        <w:tc>
          <w:tcPr>
            <w:tcW w:type="dxa" w:w="1234"/>
          </w:tcPr>
          <w:p>
            <w:r>
              <w:rPr>
                <w:rFonts w:ascii="Calibri" w:hAnsi="Calibri"/>
                <w:sz w:val="22"/>
              </w:rPr>
              <w:t>+4.1%</w:t>
            </w:r>
          </w:p>
        </w:tc>
        <w:tc>
          <w:tcPr>
            <w:tcW w:type="dxa" w:w="1234"/>
          </w:tcPr>
          <w:p>
            <w:r>
              <w:rPr>
                <w:rFonts w:ascii="Calibri" w:hAnsi="Calibri"/>
                <w:sz w:val="22"/>
              </w:rPr>
              <w:t>Deliveries to increase each quarter; margin peak Q4</w:t>
            </w:r>
          </w:p>
        </w:tc>
        <w:tc>
          <w:tcPr>
            <w:tcW w:type="dxa" w:w="1234"/>
          </w:tcPr>
          <w:p>
            <w:r>
              <w:rPr>
                <w:rFonts w:ascii="Calibri" w:hAnsi="Calibri"/>
                <w:sz w:val="22"/>
              </w:rPr>
              <w:t>N/A (no explicit Q2 rev. guide)</w:t>
            </w:r>
          </w:p>
        </w:tc>
      </w:tr>
      <w:tr>
        <w:tc>
          <w:tcPr>
            <w:tcW w:type="dxa" w:w="1234"/>
          </w:tcPr>
          <w:p>
            <w:r>
              <w:rPr>
                <w:rFonts w:ascii="Calibri" w:hAnsi="Calibri"/>
                <w:sz w:val="22"/>
              </w:rPr>
              <w:t>Segment Profit - Aviation ($M)</w:t>
            </w:r>
          </w:p>
        </w:tc>
        <w:tc>
          <w:tcPr>
            <w:tcW w:type="dxa" w:w="1234"/>
          </w:tcPr>
          <w:p>
            <w:r>
              <w:rPr>
                <w:rFonts w:ascii="Calibri" w:hAnsi="Calibri"/>
                <w:sz w:val="22"/>
              </w:rPr>
              <w:t>$154M (10.4% margin)</w:t>
            </w:r>
          </w:p>
        </w:tc>
        <w:tc>
          <w:tcPr>
            <w:tcW w:type="dxa" w:w="1234"/>
          </w:tcPr>
          <w:p>
            <w:r>
              <w:rPr>
                <w:rFonts w:ascii="Calibri" w:hAnsi="Calibri"/>
                <w:sz w:val="22"/>
              </w:rPr>
              <w:t>$180M (11.8% margin)</w:t>
            </w:r>
          </w:p>
        </w:tc>
        <w:tc>
          <w:tcPr>
            <w:tcW w:type="dxa" w:w="1234"/>
          </w:tcPr>
          <w:p>
            <w:r>
              <w:rPr>
                <w:rFonts w:ascii="Calibri" w:hAnsi="Calibri"/>
                <w:sz w:val="22"/>
              </w:rPr>
              <w:t>$179M (~11.3% margin)</w:t>
            </w:r>
          </w:p>
        </w:tc>
        <w:tc>
          <w:tcPr>
            <w:tcW w:type="dxa" w:w="1234"/>
          </w:tcPr>
          <w:p>
            <w:r>
              <w:rPr>
                <w:rFonts w:ascii="Calibri" w:hAnsi="Calibri"/>
                <w:sz w:val="22"/>
              </w:rPr>
              <w:t>-0.6%</w:t>
            </w:r>
          </w:p>
        </w:tc>
        <w:tc>
          <w:tcPr>
            <w:tcW w:type="dxa" w:w="1234"/>
          </w:tcPr>
          <w:p>
            <w:r>
              <w:rPr>
                <w:rFonts w:ascii="Calibri" w:hAnsi="Calibri"/>
                <w:sz w:val="22"/>
              </w:rPr>
              <w:t>Sequential improvement each quarter; peak Q4</w:t>
            </w:r>
          </w:p>
        </w:tc>
        <w:tc>
          <w:tcPr>
            <w:tcW w:type="dxa" w:w="1234"/>
          </w:tcPr>
          <w:p>
            <w:r>
              <w:rPr>
                <w:rFonts w:ascii="Calibri" w:hAnsi="Calibri"/>
                <w:sz w:val="22"/>
              </w:rPr>
              <w:t>N/A</w:t>
            </w:r>
          </w:p>
        </w:tc>
      </w:tr>
      <w:tr>
        <w:tc>
          <w:tcPr>
            <w:tcW w:type="dxa" w:w="1234"/>
          </w:tcPr>
          <w:p>
            <w:r>
              <w:rPr>
                <w:rFonts w:ascii="Calibri" w:hAnsi="Calibri"/>
                <w:sz w:val="22"/>
              </w:rPr>
              <w:t>Revenue - Bell ($B)</w:t>
            </w:r>
          </w:p>
        </w:tc>
        <w:tc>
          <w:tcPr>
            <w:tcW w:type="dxa" w:w="1234"/>
          </w:tcPr>
          <w:p>
            <w:r>
              <w:rPr>
                <w:rFonts w:ascii="Calibri" w:hAnsi="Calibri"/>
                <w:sz w:val="22"/>
              </w:rPr>
              <w:t>$1.070B</w:t>
            </w:r>
          </w:p>
        </w:tc>
        <w:tc>
          <w:tcPr>
            <w:tcW w:type="dxa" w:w="1234"/>
          </w:tcPr>
          <w:p>
            <w:r>
              <w:rPr>
                <w:rFonts w:ascii="Calibri" w:hAnsi="Calibri"/>
                <w:sz w:val="22"/>
              </w:rPr>
              <w:t>$1.016B</w:t>
            </w:r>
          </w:p>
        </w:tc>
        <w:tc>
          <w:tcPr>
            <w:tcW w:type="dxa" w:w="1234"/>
          </w:tcPr>
          <w:p>
            <w:r>
              <w:rPr>
                <w:rFonts w:ascii="Calibri" w:hAnsi="Calibri"/>
                <w:sz w:val="22"/>
              </w:rPr>
              <w:t>$1.040B</w:t>
            </w:r>
          </w:p>
        </w:tc>
        <w:tc>
          <w:tcPr>
            <w:tcW w:type="dxa" w:w="1234"/>
          </w:tcPr>
          <w:p>
            <w:r>
              <w:rPr>
                <w:rFonts w:ascii="Calibri" w:hAnsi="Calibri"/>
                <w:sz w:val="22"/>
              </w:rPr>
              <w:t>+2.4%</w:t>
            </w:r>
          </w:p>
        </w:tc>
        <w:tc>
          <w:tcPr>
            <w:tcW w:type="dxa" w:w="1234"/>
          </w:tcPr>
          <w:p>
            <w:r>
              <w:rPr>
                <w:rFonts w:ascii="Calibri" w:hAnsi="Calibri"/>
                <w:sz w:val="22"/>
              </w:rPr>
              <w:t>MV-75 rev. flat YoY; Bell margin 8–9% FY2026</w:t>
            </w:r>
          </w:p>
        </w:tc>
        <w:tc>
          <w:tcPr>
            <w:tcW w:type="dxa" w:w="1234"/>
          </w:tcPr>
          <w:p>
            <w:r>
              <w:rPr>
                <w:rFonts w:ascii="Calibri" w:hAnsi="Calibri"/>
                <w:sz w:val="22"/>
              </w:rPr>
              <w:t>N/A</w:t>
            </w:r>
          </w:p>
        </w:tc>
      </w:tr>
      <w:tr>
        <w:tc>
          <w:tcPr>
            <w:tcW w:type="dxa" w:w="1234"/>
          </w:tcPr>
          <w:p>
            <w:r>
              <w:rPr>
                <w:rFonts w:ascii="Calibri" w:hAnsi="Calibri"/>
                <w:sz w:val="22"/>
              </w:rPr>
              <w:t>Segment Profit - Bell ($M)</w:t>
            </w:r>
          </w:p>
        </w:tc>
        <w:tc>
          <w:tcPr>
            <w:tcW w:type="dxa" w:w="1234"/>
          </w:tcPr>
          <w:p>
            <w:r>
              <w:rPr>
                <w:rFonts w:ascii="Calibri" w:hAnsi="Calibri"/>
                <w:sz w:val="22"/>
              </w:rPr>
              <w:t>$72M (6.7% margin)</w:t>
            </w:r>
          </w:p>
        </w:tc>
        <w:tc>
          <w:tcPr>
            <w:tcW w:type="dxa" w:w="1234"/>
          </w:tcPr>
          <w:p>
            <w:r>
              <w:rPr>
                <w:rFonts w:ascii="Calibri" w:hAnsi="Calibri"/>
                <w:sz w:val="22"/>
              </w:rPr>
              <w:t>$80M (7.9% margin)</w:t>
            </w:r>
          </w:p>
        </w:tc>
        <w:tc>
          <w:tcPr>
            <w:tcW w:type="dxa" w:w="1234"/>
          </w:tcPr>
          <w:p>
            <w:r>
              <w:rPr>
                <w:rFonts w:ascii="Calibri" w:hAnsi="Calibri"/>
                <w:sz w:val="22"/>
              </w:rPr>
              <w:t>$84M (~8.1% margin)</w:t>
            </w:r>
          </w:p>
        </w:tc>
        <w:tc>
          <w:tcPr>
            <w:tcW w:type="dxa" w:w="1234"/>
          </w:tcPr>
          <w:p>
            <w:r>
              <w:rPr>
                <w:rFonts w:ascii="Calibri" w:hAnsi="Calibri"/>
                <w:sz w:val="22"/>
              </w:rPr>
              <w:t>+5.0%</w:t>
            </w:r>
          </w:p>
        </w:tc>
        <w:tc>
          <w:tcPr>
            <w:tcW w:type="dxa" w:w="1234"/>
          </w:tcPr>
          <w:p>
            <w:r>
              <w:rPr>
                <w:rFonts w:ascii="Calibri" w:hAnsi="Calibri"/>
                <w:sz w:val="22"/>
              </w:rPr>
              <w:t>FY2026 Bell margin 8–9%</w:t>
            </w:r>
          </w:p>
        </w:tc>
        <w:tc>
          <w:tcPr>
            <w:tcW w:type="dxa" w:w="1234"/>
          </w:tcPr>
          <w:p>
            <w:r>
              <w:rPr>
                <w:rFonts w:ascii="Calibri" w:hAnsi="Calibri"/>
                <w:sz w:val="22"/>
              </w:rPr>
              <w:t>In-line with guidance midpoint</w:t>
            </w:r>
          </w:p>
        </w:tc>
      </w:tr>
      <w:tr>
        <w:tc>
          <w:tcPr>
            <w:tcW w:type="dxa" w:w="1234"/>
          </w:tcPr>
          <w:p>
            <w:r>
              <w:rPr>
                <w:rFonts w:ascii="Calibri" w:hAnsi="Calibri"/>
                <w:sz w:val="22"/>
              </w:rPr>
              <w:t>Revenue - Textron Systems ($M)</w:t>
            </w:r>
          </w:p>
        </w:tc>
        <w:tc>
          <w:tcPr>
            <w:tcW w:type="dxa" w:w="1234"/>
          </w:tcPr>
          <w:p>
            <w:r>
              <w:rPr>
                <w:rFonts w:ascii="Calibri" w:hAnsi="Calibri"/>
                <w:sz w:val="22"/>
              </w:rPr>
              <w:t>$338M</w:t>
            </w:r>
          </w:p>
        </w:tc>
        <w:tc>
          <w:tcPr>
            <w:tcW w:type="dxa" w:w="1234"/>
          </w:tcPr>
          <w:p>
            <w:r>
              <w:rPr>
                <w:rFonts w:ascii="Calibri" w:hAnsi="Calibri"/>
                <w:sz w:val="22"/>
              </w:rPr>
              <w:t>$324M</w:t>
            </w:r>
          </w:p>
        </w:tc>
        <w:tc>
          <w:tcPr>
            <w:tcW w:type="dxa" w:w="1234"/>
          </w:tcPr>
          <w:p>
            <w:r>
              <w:rPr>
                <w:rFonts w:ascii="Calibri" w:hAnsi="Calibri"/>
                <w:sz w:val="22"/>
              </w:rPr>
              <w:t>$338M</w:t>
            </w:r>
          </w:p>
        </w:tc>
        <w:tc>
          <w:tcPr>
            <w:tcW w:type="dxa" w:w="1234"/>
          </w:tcPr>
          <w:p>
            <w:r>
              <w:rPr>
                <w:rFonts w:ascii="Calibri" w:hAnsi="Calibri"/>
                <w:sz w:val="22"/>
              </w:rPr>
              <w:t>+4.3%</w:t>
            </w:r>
          </w:p>
        </w:tc>
        <w:tc>
          <w:tcPr>
            <w:tcW w:type="dxa" w:w="1234"/>
          </w:tcPr>
          <w:p>
            <w:r>
              <w:rPr>
                <w:rFonts w:ascii="Calibri" w:hAnsi="Calibri"/>
                <w:sz w:val="22"/>
              </w:rPr>
              <w:t>No explicit guidance; FY2026 ~$1.35B</w:t>
            </w:r>
          </w:p>
        </w:tc>
        <w:tc>
          <w:tcPr>
            <w:tcW w:type="dxa" w:w="1234"/>
          </w:tcPr>
          <w:p>
            <w:r>
              <w:rPr>
                <w:rFonts w:ascii="Calibri" w:hAnsi="Calibri"/>
                <w:sz w:val="22"/>
              </w:rPr>
              <w:t>N/A</w:t>
            </w:r>
          </w:p>
        </w:tc>
      </w:tr>
      <w:tr>
        <w:tc>
          <w:tcPr>
            <w:tcW w:type="dxa" w:w="1234"/>
          </w:tcPr>
          <w:p>
            <w:r>
              <w:rPr>
                <w:rFonts w:ascii="Calibri" w:hAnsi="Calibri"/>
                <w:sz w:val="22"/>
              </w:rPr>
              <w:t>Revenue - Industrial ($M)</w:t>
            </w:r>
          </w:p>
        </w:tc>
        <w:tc>
          <w:tcPr>
            <w:tcW w:type="dxa" w:w="1234"/>
          </w:tcPr>
          <w:p>
            <w:r>
              <w:rPr>
                <w:rFonts w:ascii="Calibri" w:hAnsi="Calibri"/>
                <w:sz w:val="22"/>
              </w:rPr>
              <w:t>$786M</w:t>
            </w:r>
          </w:p>
        </w:tc>
        <w:tc>
          <w:tcPr>
            <w:tcW w:type="dxa" w:w="1234"/>
          </w:tcPr>
          <w:p>
            <w:r>
              <w:rPr>
                <w:rFonts w:ascii="Calibri" w:hAnsi="Calibri"/>
                <w:sz w:val="22"/>
              </w:rPr>
              <w:t>$839M</w:t>
            </w:r>
          </w:p>
        </w:tc>
        <w:tc>
          <w:tcPr>
            <w:tcW w:type="dxa" w:w="1234"/>
          </w:tcPr>
          <w:p>
            <w:r>
              <w:rPr>
                <w:rFonts w:ascii="Calibri" w:hAnsi="Calibri"/>
                <w:sz w:val="22"/>
              </w:rPr>
              <w:t>$826M</w:t>
            </w:r>
          </w:p>
        </w:tc>
        <w:tc>
          <w:tcPr>
            <w:tcW w:type="dxa" w:w="1234"/>
          </w:tcPr>
          <w:p>
            <w:r>
              <w:rPr>
                <w:rFonts w:ascii="Calibri" w:hAnsi="Calibri"/>
                <w:sz w:val="22"/>
              </w:rPr>
              <w:t>-1.5%</w:t>
            </w:r>
          </w:p>
        </w:tc>
        <w:tc>
          <w:tcPr>
            <w:tcW w:type="dxa" w:w="1234"/>
          </w:tcPr>
          <w:p>
            <w:r>
              <w:rPr>
                <w:rFonts w:ascii="Calibri" w:hAnsi="Calibri"/>
                <w:sz w:val="22"/>
              </w:rPr>
              <w:t>Separation in progress; no new guidance</w:t>
            </w:r>
          </w:p>
        </w:tc>
        <w:tc>
          <w:tcPr>
            <w:tcW w:type="dxa" w:w="1234"/>
          </w:tcPr>
          <w:p>
            <w:r>
              <w:rPr>
                <w:rFonts w:ascii="Calibri" w:hAnsi="Calibri"/>
                <w:sz w:val="22"/>
              </w:rPr>
              <w:t>N/A</w:t>
            </w:r>
          </w:p>
        </w:tc>
      </w:tr>
      <w:tr>
        <w:tc>
          <w:tcPr>
            <w:tcW w:type="dxa" w:w="1234"/>
          </w:tcPr>
          <w:p>
            <w:r>
              <w:rPr>
                <w:rFonts w:ascii="Calibri" w:hAnsi="Calibri"/>
                <w:sz w:val="22"/>
              </w:rPr>
              <w:t>Mfg. Free Cash Flow ($M)</w:t>
            </w:r>
          </w:p>
        </w:tc>
        <w:tc>
          <w:tcPr>
            <w:tcW w:type="dxa" w:w="1234"/>
          </w:tcPr>
          <w:p>
            <w:r>
              <w:rPr>
                <w:rFonts w:ascii="Calibri" w:hAnsi="Calibri"/>
                <w:sz w:val="22"/>
              </w:rPr>
              <w:t>-$240M</w:t>
            </w:r>
          </w:p>
        </w:tc>
        <w:tc>
          <w:tcPr>
            <w:tcW w:type="dxa" w:w="1234"/>
          </w:tcPr>
          <w:p>
            <w:r>
              <w:rPr>
                <w:rFonts w:ascii="Calibri" w:hAnsi="Calibri"/>
                <w:sz w:val="22"/>
              </w:rPr>
              <w:t>$317M</w:t>
            </w:r>
          </w:p>
        </w:tc>
        <w:tc>
          <w:tcPr>
            <w:tcW w:type="dxa" w:w="1234"/>
          </w:tcPr>
          <w:p>
            <w:r>
              <w:rPr>
                <w:rFonts w:ascii="Calibri" w:hAnsi="Calibri"/>
                <w:sz w:val="22"/>
              </w:rPr>
              <w:t>$162M</w:t>
            </w:r>
          </w:p>
        </w:tc>
        <w:tc>
          <w:tcPr>
            <w:tcW w:type="dxa" w:w="1234"/>
          </w:tcPr>
          <w:p>
            <w:r>
              <w:rPr>
                <w:rFonts w:ascii="Calibri" w:hAnsi="Calibri"/>
                <w:sz w:val="22"/>
              </w:rPr>
              <w:t>-48.9%</w:t>
            </w:r>
          </w:p>
        </w:tc>
        <w:tc>
          <w:tcPr>
            <w:tcW w:type="dxa" w:w="1234"/>
          </w:tcPr>
          <w:p>
            <w:r>
              <w:rPr>
                <w:rFonts w:ascii="Calibri" w:hAnsi="Calibri"/>
                <w:sz w:val="22"/>
              </w:rPr>
              <w:t>FY2026 Mfg. FCF ~$670M</w:t>
            </w:r>
          </w:p>
        </w:tc>
        <w:tc>
          <w:tcPr>
            <w:tcW w:type="dxa" w:w="1234"/>
          </w:tcPr>
          <w:p>
            <w:r>
              <w:rPr>
                <w:rFonts w:ascii="Calibri" w:hAnsi="Calibri"/>
                <w:sz w:val="22"/>
              </w:rPr>
              <w:t>N/A</w:t>
            </w:r>
          </w:p>
        </w:tc>
      </w:tr>
      <w:tr>
        <w:tc>
          <w:tcPr>
            <w:tcW w:type="dxa" w:w="1234"/>
          </w:tcPr>
          <w:p>
            <w:r>
              <w:rPr>
                <w:rFonts w:ascii="Calibri" w:hAnsi="Calibri"/>
                <w:sz w:val="22"/>
              </w:rPr>
              <w:t>Backlog ($B)</w:t>
            </w:r>
          </w:p>
        </w:tc>
        <w:tc>
          <w:tcPr>
            <w:tcW w:type="dxa" w:w="1234"/>
          </w:tcPr>
          <w:p>
            <w:r>
              <w:rPr>
                <w:rFonts w:ascii="Calibri" w:hAnsi="Calibri"/>
                <w:sz w:val="22"/>
              </w:rPr>
              <w:t>$19.16B</w:t>
            </w:r>
          </w:p>
        </w:tc>
        <w:tc>
          <w:tcPr>
            <w:tcW w:type="dxa" w:w="1234"/>
          </w:tcPr>
          <w:p>
            <w:r>
              <w:rPr>
                <w:rFonts w:ascii="Calibri" w:hAnsi="Calibri"/>
                <w:sz w:val="22"/>
              </w:rPr>
              <w:t>$16.92B</w:t>
            </w:r>
          </w:p>
        </w:tc>
        <w:tc>
          <w:tcPr>
            <w:tcW w:type="dxa" w:w="1234"/>
          </w:tcPr>
          <w:p>
            <w:r>
              <w:rPr>
                <w:rFonts w:ascii="Calibri" w:hAnsi="Calibri"/>
                <w:sz w:val="22"/>
              </w:rPr>
              <w:t>$19.19B</w:t>
            </w:r>
          </w:p>
        </w:tc>
        <w:tc>
          <w:tcPr>
            <w:tcW w:type="dxa" w:w="1234"/>
          </w:tcPr>
          <w:p>
            <w:r>
              <w:rPr>
                <w:rFonts w:ascii="Calibri" w:hAnsi="Calibri"/>
                <w:sz w:val="22"/>
              </w:rPr>
              <w:t>+13.4%</w:t>
            </w:r>
          </w:p>
        </w:tc>
        <w:tc>
          <w:tcPr>
            <w:tcW w:type="dxa" w:w="1234"/>
          </w:tcPr>
          <w:p>
            <w:r>
              <w:rPr>
                <w:rFonts w:ascii="Calibri" w:hAnsi="Calibri"/>
                <w:sz w:val="22"/>
              </w:rPr>
              <w:t>No explicit guidance</w:t>
            </w:r>
          </w:p>
        </w:tc>
        <w:tc>
          <w:tcPr>
            <w:tcW w:type="dxa" w:w="1234"/>
          </w:tcPr>
          <w:p>
            <w:r>
              <w:rPr>
                <w:rFonts w:ascii="Calibri" w:hAnsi="Calibri"/>
                <w:sz w:val="22"/>
              </w:rPr>
              <w:t>N/A</w:t>
            </w:r>
          </w:p>
        </w:tc>
      </w:tr>
    </w:tbl>
    <w:p>
      <w:r>
        <w:rPr>
          <w:rFonts w:ascii="Calibri" w:hAnsi="Calibri"/>
          <w:i/>
          <w:color w:val="525866"/>
          <w:sz w:val="22"/>
        </w:rPr>
        <w:t>Source: Visible Alpha Consensus and Actuals Data. All consensus figures as of July 27, 2026. Q1 2026 actuals and Q2 2025 actuals from Visible Alpha reported figures.</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Adjusted EPS -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$1.45</w:t>
            </w:r>
          </w:p>
        </w:tc>
        <w:tc>
          <w:tcPr>
            <w:tcW w:type="dxa" w:w="1728"/>
          </w:tcPr>
          <w:p>
            <w:r>
              <w:rPr>
                <w:rFonts w:ascii="Calibri" w:hAnsi="Calibri"/>
                <w:sz w:val="22"/>
              </w:rPr>
              <w:t>$1.30</w:t>
            </w:r>
          </w:p>
        </w:tc>
        <w:tc>
          <w:tcPr>
            <w:tcW w:type="dxa" w:w="1728"/>
          </w:tcPr>
          <w:p>
            <w:r>
              <w:rPr>
                <w:rFonts w:ascii="Calibri" w:hAnsi="Calibri"/>
                <w:b/>
                <w:color w:val="30A46C"/>
                <w:sz w:val="22"/>
              </w:rPr>
              <w:t>+11.5%</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$1.73</w:t>
            </w:r>
          </w:p>
        </w:tc>
        <w:tc>
          <w:tcPr>
            <w:tcW w:type="dxa" w:w="1728"/>
          </w:tcPr>
          <w:p>
            <w:r>
              <w:rPr>
                <w:rFonts w:ascii="Calibri" w:hAnsi="Calibri"/>
                <w:sz w:val="22"/>
              </w:rPr>
              <w:t>$1.71</w:t>
            </w:r>
          </w:p>
        </w:tc>
        <w:tc>
          <w:tcPr>
            <w:tcW w:type="dxa" w:w="1728"/>
          </w:tcPr>
          <w:p>
            <w:r>
              <w:rPr>
                <w:rFonts w:ascii="Calibri" w:hAnsi="Calibri"/>
                <w:b/>
                <w:color w:val="30A46C"/>
                <w:sz w:val="22"/>
              </w:rPr>
              <w:t>+1.2%</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$1.55</w:t>
            </w:r>
          </w:p>
        </w:tc>
        <w:tc>
          <w:tcPr>
            <w:tcW w:type="dxa" w:w="1728"/>
          </w:tcPr>
          <w:p>
            <w:r>
              <w:rPr>
                <w:rFonts w:ascii="Calibri" w:hAnsi="Calibri"/>
                <w:sz w:val="22"/>
              </w:rPr>
              <w:t>$1.44</w:t>
            </w:r>
          </w:p>
        </w:tc>
        <w:tc>
          <w:tcPr>
            <w:tcW w:type="dxa" w:w="1728"/>
          </w:tcPr>
          <w:p>
            <w:r>
              <w:rPr>
                <w:rFonts w:ascii="Calibri" w:hAnsi="Calibri"/>
                <w:b/>
                <w:color w:val="30A46C"/>
                <w:sz w:val="22"/>
              </w:rPr>
              <w:t>+7.6%</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$1.55</w:t>
            </w:r>
          </w:p>
        </w:tc>
        <w:tc>
          <w:tcPr>
            <w:tcW w:type="dxa" w:w="1728"/>
          </w:tcPr>
          <w:p>
            <w:r>
              <w:rPr>
                <w:rFonts w:ascii="Calibri" w:hAnsi="Calibri"/>
                <w:sz w:val="22"/>
              </w:rPr>
              <w:t>$1.44</w:t>
            </w:r>
          </w:p>
        </w:tc>
        <w:tc>
          <w:tcPr>
            <w:tcW w:type="dxa" w:w="1728"/>
          </w:tcPr>
          <w:p>
            <w:r>
              <w:rPr>
                <w:rFonts w:ascii="Calibri" w:hAnsi="Calibri"/>
                <w:b/>
                <w:color w:val="30A46C"/>
                <w:sz w:val="22"/>
              </w:rPr>
              <w:t>+7.6%</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$1.28</w:t>
            </w:r>
          </w:p>
        </w:tc>
        <w:tc>
          <w:tcPr>
            <w:tcW w:type="dxa" w:w="1728"/>
          </w:tcPr>
          <w:p>
            <w:r>
              <w:rPr>
                <w:rFonts w:ascii="Calibri" w:hAnsi="Calibri"/>
                <w:sz w:val="22"/>
              </w:rPr>
              <w:t>~$1.20</w:t>
            </w:r>
          </w:p>
        </w:tc>
        <w:tc>
          <w:tcPr>
            <w:tcW w:type="dxa" w:w="1728"/>
          </w:tcPr>
          <w:p>
            <w:r>
              <w:rPr>
                <w:rFonts w:ascii="Calibri" w:hAnsi="Calibri"/>
                <w:b/>
                <w:color w:val="30A46C"/>
                <w:sz w:val="22"/>
              </w:rPr>
              <w:t>~+6.7%</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~$1.60</w:t>
            </w:r>
          </w:p>
        </w:tc>
        <w:tc>
          <w:tcPr>
            <w:tcW w:type="dxa" w:w="1728"/>
          </w:tcPr>
          <w:p>
            <w:r>
              <w:rPr>
                <w:rFonts w:ascii="Calibri" w:hAnsi="Calibri"/>
                <w:sz w:val="22"/>
              </w:rPr>
              <w:t>~$1.55</w:t>
            </w:r>
          </w:p>
        </w:tc>
        <w:tc>
          <w:tcPr>
            <w:tcW w:type="dxa" w:w="1728"/>
          </w:tcPr>
          <w:p>
            <w:r>
              <w:rPr>
                <w:rFonts w:ascii="Calibri" w:hAnsi="Calibri"/>
                <w:b/>
                <w:color w:val="30A46C"/>
                <w:sz w:val="22"/>
              </w:rPr>
              <w:t>~+3.2%</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~$1.40</w:t>
            </w:r>
          </w:p>
        </w:tc>
        <w:tc>
          <w:tcPr>
            <w:tcW w:type="dxa" w:w="1728"/>
          </w:tcPr>
          <w:p>
            <w:r>
              <w:rPr>
                <w:rFonts w:ascii="Calibri" w:hAnsi="Calibri"/>
                <w:sz w:val="22"/>
              </w:rPr>
              <w:t>~$1.35</w:t>
            </w:r>
          </w:p>
        </w:tc>
        <w:tc>
          <w:tcPr>
            <w:tcW w:type="dxa" w:w="1728"/>
          </w:tcPr>
          <w:p>
            <w:r>
              <w:rPr>
                <w:rFonts w:ascii="Calibri" w:hAnsi="Calibri"/>
                <w:b/>
                <w:color w:val="30A46C"/>
                <w:sz w:val="22"/>
              </w:rPr>
              <w:t>~+3.7%</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~$1.50</w:t>
            </w:r>
          </w:p>
        </w:tc>
        <w:tc>
          <w:tcPr>
            <w:tcW w:type="dxa" w:w="1728"/>
          </w:tcPr>
          <w:p>
            <w:r>
              <w:rPr>
                <w:rFonts w:ascii="Calibri" w:hAnsi="Calibri"/>
                <w:sz w:val="22"/>
              </w:rPr>
              <w:t>~$1.45</w:t>
            </w:r>
          </w:p>
        </w:tc>
        <w:tc>
          <w:tcPr>
            <w:tcW w:type="dxa" w:w="1728"/>
          </w:tcPr>
          <w:p>
            <w:r>
              <w:rPr>
                <w:rFonts w:ascii="Calibri" w:hAnsi="Calibri"/>
                <w:b/>
                <w:color w:val="30A46C"/>
                <w:sz w:val="22"/>
              </w:rPr>
              <w:t>~+3.4%</w:t>
            </w:r>
          </w:p>
        </w:tc>
        <w:tc>
          <w:tcPr>
            <w:tcW w:type="dxa" w:w="1728"/>
          </w:tcPr>
          <w:p>
            <w:r>
              <w:rPr>
                <w:rFonts w:ascii="Calibri" w:hAnsi="Calibri"/>
                <w:b/>
                <w:color w:val="30A46C"/>
                <w:sz w:val="22"/>
              </w:rPr>
              <w:t>Beat</w:t>
            </w:r>
          </w:p>
        </w:tc>
      </w:tr>
    </w:tbl>
    <w:p>
      <w:pPr>
        <w:pStyle w:val="Heading4"/>
      </w:pPr>
      <w:r>
        <w:rPr>
          <w:rFonts w:ascii="Calibri" w:hAnsi="Calibri"/>
          <w:b/>
          <w:color w:val="3B4259"/>
          <w:sz w:val="22"/>
        </w:rPr>
        <w:t>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$3.695B</w:t>
            </w:r>
          </w:p>
        </w:tc>
        <w:tc>
          <w:tcPr>
            <w:tcW w:type="dxa" w:w="1728"/>
          </w:tcPr>
          <w:p>
            <w:r>
              <w:rPr>
                <w:rFonts w:ascii="Calibri" w:hAnsi="Calibri"/>
                <w:sz w:val="22"/>
              </w:rPr>
              <w:t>$3.484B</w:t>
            </w:r>
          </w:p>
        </w:tc>
        <w:tc>
          <w:tcPr>
            <w:tcW w:type="dxa" w:w="1728"/>
          </w:tcPr>
          <w:p>
            <w:r>
              <w:rPr>
                <w:rFonts w:ascii="Calibri" w:hAnsi="Calibri"/>
                <w:b/>
                <w:color w:val="30A46C"/>
                <w:sz w:val="22"/>
              </w:rPr>
              <w:t>+6.1%</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$4.175B</w:t>
            </w:r>
          </w:p>
        </w:tc>
        <w:tc>
          <w:tcPr>
            <w:tcW w:type="dxa" w:w="1728"/>
          </w:tcPr>
          <w:p>
            <w:r>
              <w:rPr>
                <w:rFonts w:ascii="Calibri" w:hAnsi="Calibri"/>
                <w:sz w:val="22"/>
              </w:rPr>
              <w:t>$4.079B</w:t>
            </w:r>
          </w:p>
        </w:tc>
        <w:tc>
          <w:tcPr>
            <w:tcW w:type="dxa" w:w="1728"/>
          </w:tcPr>
          <w:p>
            <w:r>
              <w:rPr>
                <w:rFonts w:ascii="Calibri" w:hAnsi="Calibri"/>
                <w:b/>
                <w:color w:val="30A46C"/>
                <w:sz w:val="22"/>
              </w:rPr>
              <w:t>+2.4%</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$3.602B</w:t>
            </w:r>
          </w:p>
        </w:tc>
        <w:tc>
          <w:tcPr>
            <w:tcW w:type="dxa" w:w="1728"/>
          </w:tcPr>
          <w:p>
            <w:r>
              <w:rPr>
                <w:rFonts w:ascii="Calibri" w:hAnsi="Calibri"/>
                <w:sz w:val="22"/>
              </w:rPr>
              <w:t>$3.670B</w:t>
            </w:r>
          </w:p>
        </w:tc>
        <w:tc>
          <w:tcPr>
            <w:tcW w:type="dxa" w:w="1728"/>
          </w:tcPr>
          <w:p>
            <w:r>
              <w:rPr>
                <w:rFonts w:ascii="Calibri" w:hAnsi="Calibri"/>
                <w:b/>
                <w:color w:val="E5484D"/>
                <w:sz w:val="22"/>
              </w:rPr>
              <w:t>-1.9%</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$3.716B</w:t>
            </w:r>
          </w:p>
        </w:tc>
        <w:tc>
          <w:tcPr>
            <w:tcW w:type="dxa" w:w="1728"/>
          </w:tcPr>
          <w:p>
            <w:r>
              <w:rPr>
                <w:rFonts w:ascii="Calibri" w:hAnsi="Calibri"/>
                <w:sz w:val="22"/>
              </w:rPr>
              <w:t>$3.628B</w:t>
            </w:r>
          </w:p>
        </w:tc>
        <w:tc>
          <w:tcPr>
            <w:tcW w:type="dxa" w:w="1728"/>
          </w:tcPr>
          <w:p>
            <w:r>
              <w:rPr>
                <w:rFonts w:ascii="Calibri" w:hAnsi="Calibri"/>
                <w:b/>
                <w:color w:val="30A46C"/>
                <w:sz w:val="22"/>
              </w:rPr>
              <w:t>+2.4%</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~$3.31B</w:t>
            </w:r>
          </w:p>
        </w:tc>
        <w:tc>
          <w:tcPr>
            <w:tcW w:type="dxa" w:w="1728"/>
          </w:tcPr>
          <w:p>
            <w:r>
              <w:rPr>
                <w:rFonts w:ascii="Calibri" w:hAnsi="Calibri"/>
                <w:sz w:val="22"/>
              </w:rPr>
              <w:t>~$3.25B</w:t>
            </w:r>
          </w:p>
        </w:tc>
        <w:tc>
          <w:tcPr>
            <w:tcW w:type="dxa" w:w="1728"/>
          </w:tcPr>
          <w:p>
            <w:r>
              <w:rPr>
                <w:rFonts w:ascii="Calibri" w:hAnsi="Calibri"/>
                <w:b/>
                <w:color w:val="30A46C"/>
                <w:sz w:val="22"/>
              </w:rPr>
              <w:t>~+1.8%</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~$4.00B</w:t>
            </w:r>
          </w:p>
        </w:tc>
        <w:tc>
          <w:tcPr>
            <w:tcW w:type="dxa" w:w="1728"/>
          </w:tcPr>
          <w:p>
            <w:r>
              <w:rPr>
                <w:rFonts w:ascii="Calibri" w:hAnsi="Calibri"/>
                <w:sz w:val="22"/>
              </w:rPr>
              <w:t>~$3.95B</w:t>
            </w:r>
          </w:p>
        </w:tc>
        <w:tc>
          <w:tcPr>
            <w:tcW w:type="dxa" w:w="1728"/>
          </w:tcPr>
          <w:p>
            <w:r>
              <w:rPr>
                <w:rFonts w:ascii="Calibri" w:hAnsi="Calibri"/>
                <w:b/>
                <w:color w:val="30A46C"/>
                <w:sz w:val="22"/>
              </w:rPr>
              <w:t>~+1.3%</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~$3.45B</w:t>
            </w:r>
          </w:p>
        </w:tc>
        <w:tc>
          <w:tcPr>
            <w:tcW w:type="dxa" w:w="1728"/>
          </w:tcPr>
          <w:p>
            <w:r>
              <w:rPr>
                <w:rFonts w:ascii="Calibri" w:hAnsi="Calibri"/>
                <w:sz w:val="22"/>
              </w:rPr>
              <w:t>~$3.40B</w:t>
            </w:r>
          </w:p>
        </w:tc>
        <w:tc>
          <w:tcPr>
            <w:tcW w:type="dxa" w:w="1728"/>
          </w:tcPr>
          <w:p>
            <w:r>
              <w:rPr>
                <w:rFonts w:ascii="Calibri" w:hAnsi="Calibri"/>
                <w:b/>
                <w:color w:val="30A46C"/>
                <w:sz w:val="22"/>
              </w:rPr>
              <w:t>~+1.5%</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~$3.55B</w:t>
            </w:r>
          </w:p>
        </w:tc>
        <w:tc>
          <w:tcPr>
            <w:tcW w:type="dxa" w:w="1728"/>
          </w:tcPr>
          <w:p>
            <w:r>
              <w:rPr>
                <w:rFonts w:ascii="Calibri" w:hAnsi="Calibri"/>
                <w:sz w:val="22"/>
              </w:rPr>
              <w:t>~$3.50B</w:t>
            </w:r>
          </w:p>
        </w:tc>
        <w:tc>
          <w:tcPr>
            <w:tcW w:type="dxa" w:w="1728"/>
          </w:tcPr>
          <w:p>
            <w:r>
              <w:rPr>
                <w:rFonts w:ascii="Calibri" w:hAnsi="Calibri"/>
                <w:b/>
                <w:color w:val="30A46C"/>
                <w:sz w:val="22"/>
              </w:rPr>
              <w:t>~+1.4%</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TXT has beaten EPS consensus in every quarter over the trailing 8 periods, with Q1 2026 representing the largest beat (+11.5%) driven by the Industrial separation announcement and strong Aviation delivery acceleration. Revenue beats are consistent but smaller in magnitude, with Q3 2025 the lone miss. The consistent EPS beat pattern suggests management guides conservatively, but the Q1 2026 magnitude was an outlier driven by one-time strategic news.</w:t>
      </w:r>
    </w:p>
    <w:p>
      <w:r>
        <w:rPr>
          <w:rFonts w:ascii="Calibri" w:hAnsi="Calibri"/>
          <w:i/>
          <w:color w:val="525866"/>
          <w:sz w:val="22"/>
        </w:rPr>
        <w:t>Source: Visible Alpha Consensus and Actuals Data. Q1 2026 actuals and prior-year actuals from Visible Alpha. Pre-Q2 2025 consensus figures are approximate based on available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unchanged since the Q1 2026 earnings call on April 30, 2026 — FY2026 adjusted EPS of $6.50 midpoint was reaffirmed. The tone is constructive on Aviation delivery cadence and Bell margin recovery, but cautious on the MV-75 GFY26 funding gap and the pending LRIP catch-up charge.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Adj. EPS</w:t>
            </w:r>
          </w:p>
        </w:tc>
        <w:tc>
          <w:tcPr>
            <w:tcW w:type="dxa" w:w="1728"/>
          </w:tcPr>
          <w:p>
            <w:r>
              <w:rPr>
                <w:rFonts w:ascii="Calibri" w:hAnsi="Calibri"/>
                <w:sz w:val="22"/>
              </w:rPr>
              <w:t>$6.50 midpoint (reaffirmed)</w:t>
            </w:r>
          </w:p>
        </w:tc>
        <w:tc>
          <w:tcPr>
            <w:tcW w:type="dxa" w:w="1728"/>
          </w:tcPr>
          <w:p>
            <w:r>
              <w:rPr>
                <w:rFonts w:ascii="Calibri" w:hAnsi="Calibri"/>
                <w:sz w:val="22"/>
              </w:rPr>
              <w:t>—</w:t>
            </w:r>
          </w:p>
        </w:tc>
        <w:tc>
          <w:tcPr>
            <w:tcW w:type="dxa" w:w="1728"/>
          </w:tcPr>
          <w:p>
            <w:r>
              <w:rPr>
                <w:rFonts w:ascii="Calibri" w:hAnsi="Calibri"/>
                <w:sz w:val="22"/>
              </w:rPr>
              <w:t>$6.48</w:t>
            </w:r>
          </w:p>
        </w:tc>
        <w:tc>
          <w:tcPr>
            <w:tcW w:type="dxa" w:w="1728"/>
          </w:tcPr>
          <w:p>
            <w:r>
              <w:rPr>
                <w:rFonts w:ascii="Calibri" w:hAnsi="Calibri"/>
                <w:sz w:val="22"/>
              </w:rPr>
              <w:t>Unchanged; consensus essentially in-line with guidance midpoint</w:t>
            </w:r>
          </w:p>
        </w:tc>
      </w:tr>
      <w:tr>
        <w:tc>
          <w:tcPr>
            <w:tcW w:type="dxa" w:w="1728"/>
          </w:tcPr>
          <w:p>
            <w:r>
              <w:rPr>
                <w:rFonts w:ascii="Calibri" w:hAnsi="Calibri"/>
                <w:sz w:val="22"/>
              </w:rPr>
              <w:t>Aviation Deliveries</w:t>
            </w:r>
          </w:p>
        </w:tc>
        <w:tc>
          <w:tcPr>
            <w:tcW w:type="dxa" w:w="1728"/>
          </w:tcPr>
          <w:p>
            <w:r>
              <w:rPr>
                <w:rFonts w:ascii="Calibri" w:hAnsi="Calibri"/>
                <w:sz w:val="22"/>
              </w:rPr>
              <w:t>Increase each quarter; ~200 jets target at equilibrium</w:t>
            </w:r>
          </w:p>
        </w:tc>
        <w:tc>
          <w:tcPr>
            <w:tcW w:type="dxa" w:w="1728"/>
          </w:tcPr>
          <w:p>
            <w:r>
              <w:rPr>
                <w:rFonts w:ascii="Calibri" w:hAnsi="Calibri"/>
                <w:sz w:val="22"/>
              </w:rPr>
              <w:t>—</w:t>
            </w:r>
          </w:p>
        </w:tc>
        <w:tc>
          <w:tcPr>
            <w:tcW w:type="dxa" w:w="1728"/>
          </w:tcPr>
          <w:p>
            <w:r>
              <w:rPr>
                <w:rFonts w:ascii="Calibri" w:hAnsi="Calibri"/>
                <w:sz w:val="22"/>
              </w:rPr>
              <w:t>N/A (unit metric)</w:t>
            </w:r>
          </w:p>
        </w:tc>
        <w:tc>
          <w:tcPr>
            <w:tcW w:type="dxa" w:w="1728"/>
          </w:tcPr>
          <w:p>
            <w:r>
              <w:rPr>
                <w:rFonts w:ascii="Calibri" w:hAnsi="Calibri"/>
                <w:sz w:val="22"/>
              </w:rPr>
              <w:t>Q2 should show step-up from Q1's 37 Citation jets + 35 turboprops</w:t>
            </w:r>
          </w:p>
        </w:tc>
      </w:tr>
      <w:tr>
        <w:tc>
          <w:tcPr>
            <w:tcW w:type="dxa" w:w="1728"/>
          </w:tcPr>
          <w:p>
            <w:r>
              <w:rPr>
                <w:rFonts w:ascii="Calibri" w:hAnsi="Calibri"/>
                <w:sz w:val="22"/>
              </w:rPr>
              <w:t>Aviation Segment Margin</w:t>
            </w:r>
          </w:p>
        </w:tc>
        <w:tc>
          <w:tcPr>
            <w:tcW w:type="dxa" w:w="1728"/>
          </w:tcPr>
          <w:p>
            <w:r>
              <w:rPr>
                <w:rFonts w:ascii="Calibri" w:hAnsi="Calibri"/>
                <w:sz w:val="22"/>
              </w:rPr>
              <w:t>Sequential improvement each quarter; peak in Q4 2026</w:t>
            </w:r>
          </w:p>
        </w:tc>
        <w:tc>
          <w:tcPr>
            <w:tcW w:type="dxa" w:w="1728"/>
          </w:tcPr>
          <w:p>
            <w:r>
              <w:rPr>
                <w:rFonts w:ascii="Calibri" w:hAnsi="Calibri"/>
                <w:sz w:val="22"/>
              </w:rPr>
              <w:t>—</w:t>
            </w:r>
          </w:p>
        </w:tc>
        <w:tc>
          <w:tcPr>
            <w:tcW w:type="dxa" w:w="1728"/>
          </w:tcPr>
          <w:p>
            <w:r>
              <w:rPr>
                <w:rFonts w:ascii="Calibri" w:hAnsi="Calibri"/>
                <w:sz w:val="22"/>
              </w:rPr>
              <w:t>~11.3% for Q2 2026</w:t>
            </w:r>
          </w:p>
        </w:tc>
        <w:tc>
          <w:tcPr>
            <w:tcW w:type="dxa" w:w="1728"/>
          </w:tcPr>
          <w:p>
            <w:r>
              <w:rPr>
                <w:rFonts w:ascii="Calibri" w:hAnsi="Calibri"/>
                <w:sz w:val="22"/>
              </w:rPr>
              <w:t>Q1 was 10.4%; Q2 consensus implies ~90bps sequential improvement</w:t>
            </w:r>
          </w:p>
        </w:tc>
      </w:tr>
      <w:tr>
        <w:tc>
          <w:tcPr>
            <w:tcW w:type="dxa" w:w="1728"/>
          </w:tcPr>
          <w:p>
            <w:r>
              <w:rPr>
                <w:rFonts w:ascii="Calibri" w:hAnsi="Calibri"/>
                <w:sz w:val="22"/>
              </w:rPr>
              <w:t>Bell Segment Margin (FY2026)</w:t>
            </w:r>
          </w:p>
        </w:tc>
        <w:tc>
          <w:tcPr>
            <w:tcW w:type="dxa" w:w="1728"/>
          </w:tcPr>
          <w:p>
            <w:r>
              <w:rPr>
                <w:rFonts w:ascii="Calibri" w:hAnsi="Calibri"/>
                <w:sz w:val="22"/>
              </w:rPr>
              <w:t>8–9% range</w:t>
            </w:r>
          </w:p>
        </w:tc>
        <w:tc>
          <w:tcPr>
            <w:tcW w:type="dxa" w:w="1728"/>
          </w:tcPr>
          <w:p>
            <w:r>
              <w:rPr>
                <w:rFonts w:ascii="Calibri" w:hAnsi="Calibri"/>
                <w:sz w:val="22"/>
              </w:rPr>
              <w:t>—</w:t>
            </w:r>
          </w:p>
        </w:tc>
        <w:tc>
          <w:tcPr>
            <w:tcW w:type="dxa" w:w="1728"/>
          </w:tcPr>
          <w:p>
            <w:r>
              <w:rPr>
                <w:rFonts w:ascii="Calibri" w:hAnsi="Calibri"/>
                <w:sz w:val="22"/>
              </w:rPr>
              <w:t>~8.1% for Q2 2026</w:t>
            </w:r>
          </w:p>
        </w:tc>
        <w:tc>
          <w:tcPr>
            <w:tcW w:type="dxa" w:w="1728"/>
          </w:tcPr>
          <w:p>
            <w:r>
              <w:rPr>
                <w:rFonts w:ascii="Calibri" w:hAnsi="Calibri"/>
                <w:sz w:val="22"/>
              </w:rPr>
              <w:t>Q1 was 6.7%; sequential improvement expected on higher commercial volume</w:t>
            </w:r>
          </w:p>
        </w:tc>
      </w:tr>
      <w:tr>
        <w:tc>
          <w:tcPr>
            <w:tcW w:type="dxa" w:w="1728"/>
          </w:tcPr>
          <w:p>
            <w:r>
              <w:rPr>
                <w:rFonts w:ascii="Calibri" w:hAnsi="Calibri"/>
                <w:sz w:val="22"/>
              </w:rPr>
              <w:t>MV-75 Revenue (FY2026)</w:t>
            </w:r>
          </w:p>
        </w:tc>
        <w:tc>
          <w:tcPr>
            <w:tcW w:type="dxa" w:w="1728"/>
          </w:tcPr>
          <w:p>
            <w:r>
              <w:rPr>
                <w:rFonts w:ascii="Calibri" w:hAnsi="Calibri"/>
                <w:sz w:val="22"/>
              </w:rPr>
              <w:t>Flat YoY vs. FY2025</w:t>
            </w:r>
          </w:p>
        </w:tc>
        <w:tc>
          <w:tcPr>
            <w:tcW w:type="dxa" w:w="1728"/>
          </w:tcPr>
          <w:p>
            <w:r>
              <w:rPr>
                <w:rFonts w:ascii="Calibri" w:hAnsi="Calibri"/>
                <w:sz w:val="22"/>
              </w:rPr>
              <w:t>—</w:t>
            </w:r>
          </w:p>
        </w:tc>
        <w:tc>
          <w:tcPr>
            <w:tcW w:type="dxa" w:w="1728"/>
          </w:tcPr>
          <w:p>
            <w:r>
              <w:rPr>
                <w:rFonts w:ascii="Calibri" w:hAnsi="Calibri"/>
                <w:sz w:val="22"/>
              </w:rPr>
              <w:t>N/A (not separately tracked in consensus)</w:t>
            </w:r>
          </w:p>
        </w:tc>
        <w:tc>
          <w:tcPr>
            <w:tcW w:type="dxa" w:w="1728"/>
          </w:tcPr>
          <w:p>
            <w:r>
              <w:rPr>
                <w:rFonts w:ascii="Calibri" w:hAnsi="Calibri"/>
                <w:sz w:val="22"/>
              </w:rPr>
              <w:t>Army pursuing supplemental GFY26 funding; near-term gap acknowledged</w:t>
            </w:r>
          </w:p>
        </w:tc>
      </w:tr>
      <w:tr>
        <w:tc>
          <w:tcPr>
            <w:tcW w:type="dxa" w:w="1728"/>
          </w:tcPr>
          <w:p>
            <w:r>
              <w:rPr>
                <w:rFonts w:ascii="Calibri" w:hAnsi="Calibri"/>
                <w:sz w:val="22"/>
              </w:rPr>
              <w:t>MV-75 LRIP Catch-Up Charge</w:t>
            </w:r>
          </w:p>
        </w:tc>
        <w:tc>
          <w:tcPr>
            <w:tcW w:type="dxa" w:w="1728"/>
          </w:tcPr>
          <w:p>
            <w:r>
              <w:rPr>
                <w:rFonts w:ascii="Calibri" w:hAnsi="Calibri"/>
                <w:sz w:val="22"/>
              </w:rPr>
              <w:t>$60–$110M cumulative; timing H2 2026 or H1 2027</w:t>
            </w:r>
          </w:p>
        </w:tc>
        <w:tc>
          <w:tcPr>
            <w:tcW w:type="dxa" w:w="1728"/>
          </w:tcPr>
          <w:p>
            <w:r>
              <w:rPr>
                <w:rFonts w:ascii="Calibri" w:hAnsi="Calibri"/>
                <w:sz w:val="22"/>
              </w:rPr>
              <w:t>—</w:t>
            </w:r>
          </w:p>
        </w:tc>
        <w:tc>
          <w:tcPr>
            <w:tcW w:type="dxa" w:w="1728"/>
          </w:tcPr>
          <w:p>
            <w:r>
              <w:rPr>
                <w:rFonts w:ascii="Calibri" w:hAnsi="Calibri"/>
                <w:sz w:val="22"/>
              </w:rPr>
              <w:t>Not in consensus estimates</w:t>
            </w:r>
          </w:p>
        </w:tc>
        <w:tc>
          <w:tcPr>
            <w:tcW w:type="dxa" w:w="1728"/>
          </w:tcPr>
          <w:p>
            <w:r>
              <w:rPr>
                <w:rFonts w:ascii="Calibri" w:hAnsi="Calibri"/>
                <w:sz w:val="22"/>
              </w:rPr>
              <w:t>Key risk: if recognized in Q2, would be a meaningful EPS headwind</w:t>
            </w:r>
          </w:p>
        </w:tc>
      </w:tr>
      <w:tr>
        <w:tc>
          <w:tcPr>
            <w:tcW w:type="dxa" w:w="1728"/>
          </w:tcPr>
          <w:p>
            <w:r>
              <w:rPr>
                <w:rFonts w:ascii="Calibri" w:hAnsi="Calibri"/>
                <w:sz w:val="22"/>
              </w:rPr>
              <w:t>Mfg. Free Cash Flow (FY2026)</w:t>
            </w:r>
          </w:p>
        </w:tc>
        <w:tc>
          <w:tcPr>
            <w:tcW w:type="dxa" w:w="1728"/>
          </w:tcPr>
          <w:p>
            <w:r>
              <w:rPr>
                <w:rFonts w:ascii="Calibri" w:hAnsi="Calibri"/>
                <w:sz w:val="22"/>
              </w:rPr>
              <w:t>~$670M (implied by FY consensus)</w:t>
            </w:r>
          </w:p>
        </w:tc>
        <w:tc>
          <w:tcPr>
            <w:tcW w:type="dxa" w:w="1728"/>
          </w:tcPr>
          <w:p>
            <w:r>
              <w:rPr>
                <w:rFonts w:ascii="Calibri" w:hAnsi="Calibri"/>
                <w:sz w:val="22"/>
              </w:rPr>
              <w:t>—</w:t>
            </w:r>
          </w:p>
        </w:tc>
        <w:tc>
          <w:tcPr>
            <w:tcW w:type="dxa" w:w="1728"/>
          </w:tcPr>
          <w:p>
            <w:r>
              <w:rPr>
                <w:rFonts w:ascii="Calibri" w:hAnsi="Calibri"/>
                <w:sz w:val="22"/>
              </w:rPr>
              <w:t>$670M</w:t>
            </w:r>
          </w:p>
        </w:tc>
        <w:tc>
          <w:tcPr>
            <w:tcW w:type="dxa" w:w="1728"/>
          </w:tcPr>
          <w:p>
            <w:r>
              <w:rPr>
                <w:rFonts w:ascii="Calibri" w:hAnsi="Calibri"/>
                <w:sz w:val="22"/>
              </w:rPr>
              <w:t>Q1 was -$240M use; Q2 consensus $162M; H2 weighted as typical</w:t>
            </w:r>
          </w:p>
        </w:tc>
      </w:tr>
      <w:tr>
        <w:tc>
          <w:tcPr>
            <w:tcW w:type="dxa" w:w="1728"/>
          </w:tcPr>
          <w:p>
            <w:r>
              <w:rPr>
                <w:rFonts w:ascii="Calibri" w:hAnsi="Calibri"/>
                <w:sz w:val="22"/>
              </w:rPr>
              <w:t>Industrial Separation</w:t>
            </w:r>
          </w:p>
        </w:tc>
        <w:tc>
          <w:tcPr>
            <w:tcW w:type="dxa" w:w="1728"/>
          </w:tcPr>
          <w:p>
            <w:r>
              <w:rPr>
                <w:rFonts w:ascii="Calibri" w:hAnsi="Calibri"/>
                <w:sz w:val="22"/>
              </w:rPr>
              <w:t>Targeting completion within 12–18 months; sale or tax-free spin-off</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No update since Q1 announcement; any process update would be a catalyst</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Q2 2026 and FY2026 have been essentially flat since Q1 earnings — the Street has not materially revised up or down, suggesting the Q1 beat was viewed as a one-time event rather than a structural re-rating. </w:t>
      </w:r>
      <w:r>
        <w:rPr>
          <w:rFonts w:ascii="Calibri" w:hAnsi="Calibri"/>
          <w:b/>
          <w:color w:val="525866"/>
          <w:sz w:val="22"/>
        </w:rPr>
        <w:t>The gap between FY2026 EPS consensus ($6.48) and guidance midpoint ($6.50) is negligible</w:t>
      </w:r>
      <w:r>
        <w:rPr>
          <w:rFonts w:ascii="Calibri" w:hAnsi="Calibri"/>
          <w:color w:val="525866"/>
          <w:sz w:val="22"/>
        </w:rPr>
        <w:t>, indicating no meaningful cushion or risk embedded in the bar.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 (Jul 27,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Adj. EPS - Operating (Q2 2026)</w:t>
            </w:r>
          </w:p>
        </w:tc>
        <w:tc>
          <w:tcPr>
            <w:tcW w:type="dxa" w:w="1080"/>
          </w:tcPr>
          <w:p>
            <w:r>
              <w:rPr>
                <w:rFonts w:ascii="Calibri" w:hAnsi="Calibri"/>
                <w:sz w:val="22"/>
              </w:rPr>
              <w:t>$1.546</w:t>
            </w:r>
          </w:p>
        </w:tc>
        <w:tc>
          <w:tcPr>
            <w:tcW w:type="dxa" w:w="1080"/>
          </w:tcPr>
          <w:p>
            <w:r>
              <w:rPr>
                <w:rFonts w:ascii="Calibri" w:hAnsi="Calibri"/>
                <w:sz w:val="22"/>
              </w:rPr>
              <w:t>$1.553</w:t>
            </w:r>
          </w:p>
        </w:tc>
        <w:tc>
          <w:tcPr>
            <w:tcW w:type="dxa" w:w="1080"/>
          </w:tcPr>
          <w:p>
            <w:r>
              <w:rPr>
                <w:rFonts w:ascii="Calibri" w:hAnsi="Calibri"/>
                <w:sz w:val="22"/>
              </w:rPr>
              <w:t>+0.5%</w:t>
            </w:r>
          </w:p>
        </w:tc>
        <w:tc>
          <w:tcPr>
            <w:tcW w:type="dxa" w:w="1080"/>
          </w:tcPr>
          <w:p>
            <w:r>
              <w:rPr>
                <w:rFonts w:ascii="Calibri" w:hAnsi="Calibri"/>
                <w:sz w:val="22"/>
              </w:rPr>
              <w:t>No explicit Q2 guide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EPS - Operating (FY2026)</w:t>
            </w:r>
          </w:p>
        </w:tc>
        <w:tc>
          <w:tcPr>
            <w:tcW w:type="dxa" w:w="1080"/>
          </w:tcPr>
          <w:p>
            <w:r>
              <w:rPr>
                <w:rFonts w:ascii="Calibri" w:hAnsi="Calibri"/>
                <w:sz w:val="22"/>
              </w:rPr>
              <w:t>$6.467</w:t>
            </w:r>
          </w:p>
        </w:tc>
        <w:tc>
          <w:tcPr>
            <w:tcW w:type="dxa" w:w="1080"/>
          </w:tcPr>
          <w:p>
            <w:r>
              <w:rPr>
                <w:rFonts w:ascii="Calibri" w:hAnsi="Calibri"/>
                <w:sz w:val="22"/>
              </w:rPr>
              <w:t>$6.483</w:t>
            </w:r>
          </w:p>
        </w:tc>
        <w:tc>
          <w:tcPr>
            <w:tcW w:type="dxa" w:w="1080"/>
          </w:tcPr>
          <w:p>
            <w:r>
              <w:rPr>
                <w:rFonts w:ascii="Calibri" w:hAnsi="Calibri"/>
                <w:sz w:val="22"/>
              </w:rPr>
              <w:t>+0.2%</w:t>
            </w:r>
          </w:p>
        </w:tc>
        <w:tc>
          <w:tcPr>
            <w:tcW w:type="dxa" w:w="1080"/>
          </w:tcPr>
          <w:p>
            <w:r>
              <w:rPr>
                <w:rFonts w:ascii="Calibri" w:hAnsi="Calibri"/>
                <w:sz w:val="22"/>
              </w:rPr>
              <w:t>$6.50 midpoint</w:t>
            </w:r>
          </w:p>
        </w:tc>
        <w:tc>
          <w:tcPr>
            <w:tcW w:type="dxa" w:w="1080"/>
          </w:tcPr>
          <w:p>
            <w:r>
              <w:rPr>
                <w:rFonts w:ascii="Calibri" w:hAnsi="Calibri"/>
                <w:sz w:val="22"/>
              </w:rPr>
              <w:t>$6.50 midpoint (unchanged)</w:t>
            </w:r>
          </w:p>
        </w:tc>
        <w:tc>
          <w:tcPr>
            <w:tcW w:type="dxa" w:w="1080"/>
          </w:tcPr>
          <w:p>
            <w:r>
              <w:rPr>
                <w:rFonts w:ascii="Calibri" w:hAnsi="Calibri"/>
                <w:sz w:val="22"/>
              </w:rPr>
              <w:t>0%</w:t>
            </w:r>
          </w:p>
        </w:tc>
        <w:tc>
          <w:tcPr>
            <w:tcW w:type="dxa" w:w="1080"/>
          </w:tcPr>
          <w:p>
            <w:r>
              <w:rPr>
                <w:rFonts w:ascii="Calibri" w:hAnsi="Calibri"/>
                <w:sz w:val="22"/>
              </w:rPr>
              <w:t>-0.3% (cons. slightly below guide)</w:t>
            </w:r>
          </w:p>
        </w:tc>
      </w:tr>
      <w:tr>
        <w:tc>
          <w:tcPr>
            <w:tcW w:type="dxa" w:w="1080"/>
          </w:tcPr>
          <w:p>
            <w:r>
              <w:rPr>
                <w:rFonts w:ascii="Calibri" w:hAnsi="Calibri"/>
                <w:sz w:val="22"/>
              </w:rPr>
              <w:t>Total Revenue (Q2 2026)</w:t>
            </w:r>
          </w:p>
        </w:tc>
        <w:tc>
          <w:tcPr>
            <w:tcW w:type="dxa" w:w="1080"/>
          </w:tcPr>
          <w:p>
            <w:r>
              <w:rPr>
                <w:rFonts w:ascii="Calibri" w:hAnsi="Calibri"/>
                <w:sz w:val="22"/>
              </w:rPr>
              <w:t>$3.797B</w:t>
            </w:r>
          </w:p>
        </w:tc>
        <w:tc>
          <w:tcPr>
            <w:tcW w:type="dxa" w:w="1080"/>
          </w:tcPr>
          <w:p>
            <w:r>
              <w:rPr>
                <w:rFonts w:ascii="Calibri" w:hAnsi="Calibri"/>
                <w:sz w:val="22"/>
              </w:rPr>
              <w:t>$3.813B</w:t>
            </w:r>
          </w:p>
        </w:tc>
        <w:tc>
          <w:tcPr>
            <w:tcW w:type="dxa" w:w="1080"/>
          </w:tcPr>
          <w:p>
            <w:r>
              <w:rPr>
                <w:rFonts w:ascii="Calibri" w:hAnsi="Calibri"/>
                <w:sz w:val="22"/>
              </w:rPr>
              <w:t>+0.4%</w:t>
            </w:r>
          </w:p>
        </w:tc>
        <w:tc>
          <w:tcPr>
            <w:tcW w:type="dxa" w:w="1080"/>
          </w:tcPr>
          <w:p>
            <w:r>
              <w:rPr>
                <w:rFonts w:ascii="Calibri" w:hAnsi="Calibri"/>
                <w:sz w:val="22"/>
              </w:rPr>
              <w:t>No explicit Q2 guide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Revenue (FY2026)</w:t>
            </w:r>
          </w:p>
        </w:tc>
        <w:tc>
          <w:tcPr>
            <w:tcW w:type="dxa" w:w="1080"/>
          </w:tcPr>
          <w:p>
            <w:r>
              <w:rPr>
                <w:rFonts w:ascii="Calibri" w:hAnsi="Calibri"/>
                <w:sz w:val="22"/>
              </w:rPr>
              <w:t>$15.597B</w:t>
            </w:r>
          </w:p>
        </w:tc>
        <w:tc>
          <w:tcPr>
            <w:tcW w:type="dxa" w:w="1080"/>
          </w:tcPr>
          <w:p>
            <w:r>
              <w:rPr>
                <w:rFonts w:ascii="Calibri" w:hAnsi="Calibri"/>
                <w:sz w:val="22"/>
              </w:rPr>
              <w:t>$15.603B</w:t>
            </w:r>
          </w:p>
        </w:tc>
        <w:tc>
          <w:tcPr>
            <w:tcW w:type="dxa" w:w="1080"/>
          </w:tcPr>
          <w:p>
            <w:r>
              <w:rPr>
                <w:rFonts w:ascii="Calibri" w:hAnsi="Calibri"/>
                <w:sz w:val="22"/>
              </w:rPr>
              <w:t>+0.0%</w:t>
            </w:r>
          </w:p>
        </w:tc>
        <w:tc>
          <w:tcPr>
            <w:tcW w:type="dxa" w:w="1080"/>
          </w:tcPr>
          <w:p>
            <w:r>
              <w:rPr>
                <w:rFonts w:ascii="Calibri" w:hAnsi="Calibri"/>
                <w:sz w:val="22"/>
              </w:rPr>
              <w:t>~$15.6B implied</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~0% (in-line)</w:t>
            </w:r>
          </w:p>
        </w:tc>
      </w:tr>
      <w:tr>
        <w:tc>
          <w:tcPr>
            <w:tcW w:type="dxa" w:w="1080"/>
          </w:tcPr>
          <w:p>
            <w:r>
              <w:rPr>
                <w:rFonts w:ascii="Calibri" w:hAnsi="Calibri"/>
                <w:sz w:val="22"/>
              </w:rPr>
              <w:t>Revenue - Aviation (Q2 2026)</w:t>
            </w:r>
          </w:p>
        </w:tc>
        <w:tc>
          <w:tcPr>
            <w:tcW w:type="dxa" w:w="1080"/>
          </w:tcPr>
          <w:p>
            <w:r>
              <w:rPr>
                <w:rFonts w:ascii="Calibri" w:hAnsi="Calibri"/>
                <w:sz w:val="22"/>
              </w:rPr>
              <w:t>$1.564B</w:t>
            </w:r>
          </w:p>
        </w:tc>
        <w:tc>
          <w:tcPr>
            <w:tcW w:type="dxa" w:w="1080"/>
          </w:tcPr>
          <w:p>
            <w:r>
              <w:rPr>
                <w:rFonts w:ascii="Calibri" w:hAnsi="Calibri"/>
                <w:sz w:val="22"/>
              </w:rPr>
              <w:t>$1.585B</w:t>
            </w:r>
          </w:p>
        </w:tc>
        <w:tc>
          <w:tcPr>
            <w:tcW w:type="dxa" w:w="1080"/>
          </w:tcPr>
          <w:p>
            <w:r>
              <w:rPr>
                <w:rFonts w:ascii="Calibri" w:hAnsi="Calibri"/>
                <w:sz w:val="22"/>
              </w:rPr>
              <w:t>+1.3%</w:t>
            </w:r>
          </w:p>
        </w:tc>
        <w:tc>
          <w:tcPr>
            <w:tcW w:type="dxa" w:w="1080"/>
          </w:tcPr>
          <w:p>
            <w:r>
              <w:rPr>
                <w:rFonts w:ascii="Calibri" w:hAnsi="Calibri"/>
                <w:sz w:val="22"/>
              </w:rPr>
              <w:t>Deliveries increase each quarter</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 Bell (Q2 2026)</w:t>
            </w:r>
          </w:p>
        </w:tc>
        <w:tc>
          <w:tcPr>
            <w:tcW w:type="dxa" w:w="1080"/>
          </w:tcPr>
          <w:p>
            <w:r>
              <w:rPr>
                <w:rFonts w:ascii="Calibri" w:hAnsi="Calibri"/>
                <w:sz w:val="22"/>
              </w:rPr>
              <w:t>$1.041B</w:t>
            </w:r>
          </w:p>
        </w:tc>
        <w:tc>
          <w:tcPr>
            <w:tcW w:type="dxa" w:w="1080"/>
          </w:tcPr>
          <w:p>
            <w:r>
              <w:rPr>
                <w:rFonts w:ascii="Calibri" w:hAnsi="Calibri"/>
                <w:sz w:val="22"/>
              </w:rPr>
              <w:t>$1.040B</w:t>
            </w:r>
          </w:p>
        </w:tc>
        <w:tc>
          <w:tcPr>
            <w:tcW w:type="dxa" w:w="1080"/>
          </w:tcPr>
          <w:p>
            <w:r>
              <w:rPr>
                <w:rFonts w:ascii="Calibri" w:hAnsi="Calibri"/>
                <w:sz w:val="22"/>
              </w:rPr>
              <w:t>-0.1%</w:t>
            </w:r>
          </w:p>
        </w:tc>
        <w:tc>
          <w:tcPr>
            <w:tcW w:type="dxa" w:w="1080"/>
          </w:tcPr>
          <w:p>
            <w:r>
              <w:rPr>
                <w:rFonts w:ascii="Calibri" w:hAnsi="Calibri"/>
                <w:sz w:val="22"/>
              </w:rPr>
              <w:t>MV-75 flat YoY; Bell margin 8–9%</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Mfg. Free Cash Flow (FY2026)</w:t>
            </w:r>
          </w:p>
        </w:tc>
        <w:tc>
          <w:tcPr>
            <w:tcW w:type="dxa" w:w="1080"/>
          </w:tcPr>
          <w:p>
            <w:r>
              <w:rPr>
                <w:rFonts w:ascii="Calibri" w:hAnsi="Calibri"/>
                <w:sz w:val="22"/>
              </w:rPr>
              <w:t>$642M</w:t>
            </w:r>
          </w:p>
        </w:tc>
        <w:tc>
          <w:tcPr>
            <w:tcW w:type="dxa" w:w="1080"/>
          </w:tcPr>
          <w:p>
            <w:r>
              <w:rPr>
                <w:rFonts w:ascii="Calibri" w:hAnsi="Calibri"/>
                <w:sz w:val="22"/>
              </w:rPr>
              <w:t>$670M</w:t>
            </w:r>
          </w:p>
        </w:tc>
        <w:tc>
          <w:tcPr>
            <w:tcW w:type="dxa" w:w="1080"/>
          </w:tcPr>
          <w:p>
            <w:r>
              <w:rPr>
                <w:rFonts w:ascii="Calibri" w:hAnsi="Calibri"/>
                <w:sz w:val="22"/>
              </w:rPr>
              <w:t>+4.4%</w:t>
            </w:r>
          </w:p>
        </w:tc>
        <w:tc>
          <w:tcPr>
            <w:tcW w:type="dxa" w:w="1080"/>
          </w:tcPr>
          <w:p>
            <w:r>
              <w:rPr>
                <w:rFonts w:ascii="Calibri" w:hAnsi="Calibri"/>
                <w:sz w:val="22"/>
              </w:rPr>
              <w:t>~$670M implied</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~0% (in-line)</w:t>
            </w:r>
          </w:p>
        </w:tc>
      </w:tr>
    </w:tbl>
    <w:p>
      <w:r>
        <w:rPr>
          <w:rFonts w:ascii="Calibri" w:hAnsi="Calibri"/>
          <w:i/>
          <w:color w:val="525866"/>
          <w:sz w:val="22"/>
        </w:rPr>
        <w:t>Estimates have been remarkably stable since Q1 earnings, with virtually no revision in either direction. This suggests the Street is treating Q1's large beat as a one-time event (driven by the Industrial separation announcement) and is waiting for Q2 execution data before re-rating. The slight upward drift in Aviation revenue estimates (+1.3%) reflects growing confidence in the delivery cadence improvement narrative.</w:t>
      </w:r>
    </w:p>
    <w:p>
      <w:r>
        <w:rPr>
          <w:rFonts w:ascii="Calibri" w:hAnsi="Calibri"/>
          <w:i/>
          <w:color w:val="525866"/>
          <w:sz w:val="22"/>
        </w:rPr>
        <w:t>Source: Visible Alpha Consensus and Actuals Data. As-of-date consensus (May 5, 2026) and current consensus (July 27, 2026) from Visible Alpha.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TXT has dramatically underperformed the A&amp;D sector since Q1 earnings — </w:t>
      </w:r>
      <w:r>
        <w:rPr>
          <w:rFonts w:ascii="Calibri" w:hAnsi="Calibri"/>
          <w:b/>
          <w:color w:val="525866"/>
          <w:sz w:val="22"/>
        </w:rPr>
        <w:t>+0.2% vs. ITA +11.6%</w:t>
      </w:r>
      <w:r>
        <w:rPr>
          <w:rFonts w:ascii="Calibri" w:hAnsi="Calibri"/>
          <w:color w:val="525866"/>
          <w:sz w:val="22"/>
        </w:rPr>
        <w:t xml:space="preserve"> — suggesting the market is discounting the MV-75 funding uncertainty and LRIP charge risk rather than rewarding the Q1 beat and Industrial separation announcement. The underperformance is multiple-driven, not earnings-driven, and represents a potential re-rating opportunity if Q2 delivers a clean print.</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TXT vs. ITA (iShares U.S. Aerospace &amp; Defense ETF) vs. S&amp;P 500, indexed to 100 at Q1 2026 earnings date (April 30, 2026). Source: Stock Price Data.</w:t>
      </w:r>
    </w:p>
    <w:p>
      <w:r>
        <w:rPr>
          <w:rFonts w:ascii="Calibri" w:hAnsi="Calibri"/>
          <w:b/>
          <w:color w:val="525866"/>
          <w:sz w:val="22"/>
        </w:rPr>
        <w:t>Performance Summary (Apr 30 – Jul 28, 2026):</w:t>
      </w:r>
    </w:p>
    <w:p>
      <w:pPr>
        <w:pStyle w:val="ListBullet"/>
        <w:ind w:left="360" w:hanging="360"/>
      </w:pPr>
      <w:r>
        <w:rPr>
          <w:rFonts w:ascii="Calibri" w:hAnsi="Calibri"/>
          <w:b/>
          <w:color w:val="525866"/>
          <w:sz w:val="22"/>
        </w:rPr>
        <w:t xml:space="preserve">TXT: </w:t>
      </w:r>
      <w:r>
        <w:rPr>
          <w:rFonts w:ascii="Calibri" w:hAnsi="Calibri"/>
          <w:color w:val="525866"/>
          <w:sz w:val="22"/>
        </w:rPr>
        <w:t>+0.2% (from $95.96 to $96.13) — essentially flat since Q1 earnings</w:t>
      </w:r>
    </w:p>
    <w:p>
      <w:pPr>
        <w:pStyle w:val="ListBullet"/>
        <w:ind w:left="360" w:hanging="360"/>
      </w:pPr>
      <w:r>
        <w:rPr>
          <w:rFonts w:ascii="Calibri" w:hAnsi="Calibri"/>
          <w:b/>
          <w:color w:val="525866"/>
          <w:sz w:val="22"/>
        </w:rPr>
        <w:t xml:space="preserve">ITA (A&amp;D ETF): </w:t>
      </w:r>
      <w:r>
        <w:rPr>
          <w:rFonts w:ascii="Calibri" w:hAnsi="Calibri"/>
          <w:color w:val="525866"/>
          <w:sz w:val="22"/>
        </w:rPr>
        <w:t>+11.6% (from $218.56 to $243.91) — strong sector tailwind from defense budget expansion and peer beats</w:t>
      </w:r>
    </w:p>
    <w:p>
      <w:pPr>
        <w:pStyle w:val="ListBullet"/>
        <w:ind w:left="360" w:hanging="360"/>
      </w:pPr>
      <w:r>
        <w:rPr>
          <w:rFonts w:ascii="Calibri" w:hAnsi="Calibri"/>
          <w:b/>
          <w:color w:val="525866"/>
          <w:sz w:val="22"/>
        </w:rPr>
        <w:t xml:space="preserve">S&amp;P 500: </w:t>
      </w:r>
      <w:r>
        <w:rPr>
          <w:rFonts w:ascii="Calibri" w:hAnsi="Calibri"/>
          <w:color w:val="525866"/>
          <w:sz w:val="22"/>
        </w:rPr>
        <w:t>+2.8% (from $718.66 to $739.09) — modest broad market gains</w:t>
      </w:r>
    </w:p>
    <w:p>
      <w:r>
        <w:rPr>
          <w:rFonts w:ascii="Calibri" w:hAnsi="Calibri"/>
          <w:color w:val="525866"/>
          <w:sz w:val="22"/>
        </w:rPr>
        <w:t>TXT's significant underperformance vs. ITA (-11.4pp) is notable given that peers LMT and RTX both reported strong Q2 2026 results with raised guidance. The stock briefly rallied to ~$95-96 on Q1 earnings day (from ~$89 pre-earnings), but has given back most of the relative gain as investors focused on the MV-75 GFY26 funding gap and the pending LRIP catch-up charge. The stock's inability to participate in the sector rally despite a strong Q1 beat suggests the market is pricing in execution risk around the MV-75 program transition and the Industrial separation process.</w:t>
      </w:r>
    </w:p>
    <w:p>
      <w:r>
        <w:rPr>
          <w:rFonts w:ascii="Calibri" w:hAnsi="Calibri"/>
          <w:i/>
          <w:color w:val="525866"/>
          <w:sz w:val="22"/>
        </w:rPr>
        <w:t>Source: Stock Price Data (Yahoo Finance).</w:t>
      </w:r>
    </w:p>
    <w:p>
      <w:r>
        <w:br w:type="page"/>
      </w:r>
    </w:p>
    <w:p>
      <w:pPr>
        <w:pStyle w:val="Heading2"/>
      </w:pPr>
      <w:r>
        <w:rPr>
          <w:rFonts w:ascii="Calibri" w:hAnsi="Calibri"/>
          <w:b/>
          <w:color w:val="3B4259"/>
          <w:sz w:val="28"/>
        </w:rPr>
        <w:t>6. Peer Commentaries — Read-Through (Last 60 Days, Q2 2026 Relevant)</w:t>
      </w:r>
    </w:p>
    <w:p>
      <w:r>
        <w:rPr>
          <w:rFonts w:ascii="Calibri" w:hAnsi="Calibri"/>
          <w:b/>
          <w:color w:val="525866"/>
          <w:sz w:val="22"/>
        </w:rPr>
        <w:t xml:space="preserve">Key Takeaway: </w:t>
      </w:r>
      <w:r>
        <w:rPr>
          <w:rFonts w:ascii="Calibri" w:hAnsi="Calibri"/>
          <w:color w:val="525866"/>
          <w:sz w:val="22"/>
        </w:rPr>
        <w:t xml:space="preserve">Peer Q2 2026 earnings calls from LMT, RTX, and NOC (all reported July 21–23, 2026) paint a strongly positive picture for the defense budget environment and military aviation demand — a clear positive read-through for TXT's Bell and Systems segments. </w:t>
      </w:r>
      <w:r>
        <w:rPr>
          <w:rFonts w:ascii="Calibri" w:hAnsi="Calibri"/>
          <w:b/>
          <w:color w:val="525866"/>
          <w:sz w:val="22"/>
        </w:rPr>
        <w:t>RTX's commentary on business jet OE demand and Embraer's record executive jet deliveries are constructive for Textron Aviation.</w:t>
      </w:r>
      <w:r>
        <w:rPr>
          <w:rFonts w:ascii="Calibri" w:hAnsi="Calibri"/>
          <w:color w:val="525866"/>
          <w:sz w:val="22"/>
        </w:rPr>
        <w:t xml:space="preserve"> The key TXT-specific read-through risk is the MV-75 program: LMT's Sikorsky ramp (4 platforms delivering more YoY, 53K potentially 2x deliveries) signals strong helicopter production demand, but also highlights that TXT's Bell must execute its own ramp flawlessly.</w:t>
      </w:r>
    </w:p>
    <w:p>
      <w:pPr>
        <w:pStyle w:val="Heading3"/>
      </w:pPr>
      <w:r>
        <w:rPr>
          <w:rFonts w:ascii="Calibri" w:hAnsi="Calibri"/>
          <w:b/>
          <w:color w:val="3B4259"/>
          <w:sz w:val="24"/>
        </w:rPr>
        <w:t>Lockheed Martin (LMT) — Q2 2026 Earnings Call (July 23, 2026)</w:t>
      </w:r>
    </w:p>
    <w:p>
      <w:r>
        <w:rPr>
          <w:rFonts w:ascii="Calibri" w:hAnsi="Calibri"/>
          <w:b/>
          <w:color w:val="525866"/>
          <w:sz w:val="22"/>
        </w:rPr>
        <w:t xml:space="preserve">Relevance: </w:t>
      </w:r>
      <w:r>
        <w:rPr>
          <w:rFonts w:ascii="Calibri" w:hAnsi="Calibri"/>
          <w:color w:val="525866"/>
          <w:sz w:val="22"/>
        </w:rPr>
        <w:t>High — LMT's Sikorsky helicopter ramp, defense budget commentary, and munitions demand are direct read-throughs for Bell and Textron Systems.</w:t>
      </w:r>
    </w:p>
    <w:p>
      <w:pPr>
        <w:pStyle w:val="ListBullet"/>
        <w:ind w:left="360" w:hanging="360"/>
      </w:pPr>
      <w:r>
        <w:rPr>
          <w:rFonts w:ascii="Calibri" w:hAnsi="Calibri"/>
          <w:b/>
          <w:color w:val="525866"/>
          <w:sz w:val="22"/>
        </w:rPr>
        <w:t xml:space="preserve">Sikorsky helicopter ramp accelerating: </w:t>
      </w:r>
      <w:r>
        <w:rPr>
          <w:rFonts w:ascii="Calibri" w:hAnsi="Calibri"/>
          <w:color w:val="525866"/>
          <w:sz w:val="22"/>
        </w:rPr>
        <w:t xml:space="preserve">LMT's RMS segment is accelerating to mid-single-digit YoY growth in H2 2026, driven by "continued production ramps at Sikorsky." Four Sikorsky platforms are all delivering more in 2026 vs. 2025, with the 53K potentially seeing 2x deliveries YoY and potentially doubling again in 2027. </w:t>
      </w:r>
      <w:r>
        <w:rPr>
          <w:rFonts w:ascii="Calibri" w:hAnsi="Calibri"/>
          <w:b/>
          <w:color w:val="525866"/>
          <w:sz w:val="22"/>
        </w:rPr>
        <w:t xml:space="preserve">Read-through: </w:t>
      </w:r>
      <w:r>
        <w:rPr>
          <w:rFonts w:ascii="Calibri" w:hAnsi="Calibri"/>
          <w:color w:val="525866"/>
          <w:sz w:val="22"/>
        </w:rPr>
        <w:t>Strong helicopter production demand environment is a positive backdrop for Bell's MV-75 ramp and commercial helicopter deliveries.</w:t>
      </w:r>
    </w:p>
    <w:p>
      <w:pPr>
        <w:pStyle w:val="ListBullet"/>
        <w:ind w:left="360" w:hanging="360"/>
      </w:pPr>
      <w:r>
        <w:rPr>
          <w:rFonts w:ascii="Calibri" w:hAnsi="Calibri"/>
          <w:b/>
          <w:color w:val="525866"/>
          <w:sz w:val="22"/>
        </w:rPr>
        <w:t xml:space="preserve">Record $230B backlog, raised FY2026 guidance: </w:t>
      </w:r>
      <w:r>
        <w:rPr>
          <w:rFonts w:ascii="Calibri" w:hAnsi="Calibri"/>
          <w:color w:val="525866"/>
          <w:sz w:val="22"/>
        </w:rPr>
        <w:t xml:space="preserve">LMT raised FY2026 sales guidance to $79.75–$81.75B (8% YoY growth at midpoint, up from 5%), with every segment growing faster in H2 2026. </w:t>
      </w:r>
      <w:r>
        <w:rPr>
          <w:rFonts w:ascii="Calibri" w:hAnsi="Calibri"/>
          <w:b/>
          <w:color w:val="525866"/>
          <w:sz w:val="22"/>
        </w:rPr>
        <w:t xml:space="preserve">Read-through: </w:t>
      </w:r>
      <w:r>
        <w:rPr>
          <w:rFonts w:ascii="Calibri" w:hAnsi="Calibri"/>
          <w:color w:val="525866"/>
          <w:sz w:val="22"/>
        </w:rPr>
        <w:t>Robust defense demand environment broadly supportive of TXT's Bell military and Textron Systems segments.</w:t>
      </w:r>
    </w:p>
    <w:p>
      <w:pPr>
        <w:pStyle w:val="ListBullet"/>
        <w:ind w:left="360" w:hanging="360"/>
      </w:pPr>
      <w:r>
        <w:rPr>
          <w:rFonts w:ascii="Calibri" w:hAnsi="Calibri"/>
          <w:b/>
          <w:color w:val="525866"/>
          <w:sz w:val="22"/>
        </w:rPr>
        <w:t xml:space="preserve">Defense budget: $1.1T FY2027 base request (+25% YoY): </w:t>
      </w:r>
      <w:r>
        <w:rPr>
          <w:rFonts w:ascii="Calibri" w:hAnsi="Calibri"/>
          <w:color w:val="525866"/>
          <w:sz w:val="22"/>
        </w:rPr>
        <w:t xml:space="preserve">Bipartisan support for significant defense spending increase, with the Army specifically requesting 85 F-35s and strong munitions demand. </w:t>
      </w:r>
      <w:r>
        <w:rPr>
          <w:rFonts w:ascii="Calibri" w:hAnsi="Calibri"/>
          <w:b/>
          <w:color w:val="525866"/>
          <w:sz w:val="22"/>
        </w:rPr>
        <w:t xml:space="preserve">Read-through: </w:t>
      </w:r>
      <w:r>
        <w:rPr>
          <w:rFonts w:ascii="Calibri" w:hAnsi="Calibri"/>
          <w:color w:val="525866"/>
          <w:sz w:val="22"/>
        </w:rPr>
        <w:t>Positive for MV-75 supplemental funding prospects and Textron Systems program wins.</w:t>
      </w:r>
    </w:p>
    <w:p>
      <w:pPr>
        <w:pStyle w:val="ListBullet"/>
        <w:ind w:left="360" w:hanging="360"/>
      </w:pPr>
      <w:r>
        <w:rPr>
          <w:rFonts w:ascii="Calibri" w:hAnsi="Calibri"/>
          <w:b/>
          <w:color w:val="525866"/>
          <w:sz w:val="22"/>
        </w:rPr>
        <w:t xml:space="preserve">Commercial acquisition model gaining traction: </w:t>
      </w:r>
      <w:r>
        <w:rPr>
          <w:rFonts w:ascii="Calibri" w:hAnsi="Calibri"/>
          <w:color w:val="525866"/>
          <w:sz w:val="22"/>
        </w:rPr>
        <w:t xml:space="preserve">LMT highlighted landmark multiyear munitions framework agreements as a structural shift in DoD procurement. </w:t>
      </w:r>
      <w:r>
        <w:rPr>
          <w:rFonts w:ascii="Calibri" w:hAnsi="Calibri"/>
          <w:b/>
          <w:color w:val="525866"/>
          <w:sz w:val="22"/>
        </w:rPr>
        <w:t xml:space="preserve">Read-through: </w:t>
      </w:r>
      <w:r>
        <w:rPr>
          <w:rFonts w:ascii="Calibri" w:hAnsi="Calibri"/>
          <w:color w:val="525866"/>
          <w:sz w:val="22"/>
        </w:rPr>
        <w:t>Positive for Bell's MV-75 LRIP contract structure and potential for multi-year production agreements.</w:t>
      </w:r>
    </w:p>
    <w:p>
      <w:pPr>
        <w:pStyle w:val="Heading3"/>
      </w:pPr>
      <w:r>
        <w:rPr>
          <w:rFonts w:ascii="Calibri" w:hAnsi="Calibri"/>
          <w:b/>
          <w:color w:val="3B4259"/>
          <w:sz w:val="24"/>
        </w:rPr>
        <w:t>RTX (Raytheon Technologies) — Q2 2026 Earnings Call (July 23, 2026)</w:t>
      </w:r>
    </w:p>
    <w:p>
      <w:r>
        <w:rPr>
          <w:rFonts w:ascii="Calibri" w:hAnsi="Calibri"/>
          <w:b/>
          <w:color w:val="525866"/>
          <w:sz w:val="22"/>
        </w:rPr>
        <w:t xml:space="preserve">Relevance: </w:t>
      </w:r>
      <w:r>
        <w:rPr>
          <w:rFonts w:ascii="Calibri" w:hAnsi="Calibri"/>
          <w:color w:val="525866"/>
          <w:sz w:val="22"/>
        </w:rPr>
        <w:t>High — RTX's Collins Aerospace was selected to supply 5 key systems for the MV-75 Cheyenne (announced April 13, 2026). RTX's commentary on business jet OE demand and defense budget is directly relevant.</w:t>
      </w:r>
    </w:p>
    <w:p>
      <w:pPr>
        <w:pStyle w:val="ListBullet"/>
        <w:ind w:left="360" w:hanging="360"/>
      </w:pPr>
      <w:r>
        <w:rPr>
          <w:rFonts w:ascii="Calibri" w:hAnsi="Calibri"/>
          <w:b/>
          <w:color w:val="525866"/>
          <w:sz w:val="22"/>
        </w:rPr>
        <w:t xml:space="preserve">Collins Aerospace selected for MV-75 Cheyenne systems: </w:t>
      </w:r>
      <w:r>
        <w:rPr>
          <w:rFonts w:ascii="Calibri" w:hAnsi="Calibri"/>
          <w:color w:val="525866"/>
          <w:sz w:val="22"/>
        </w:rPr>
        <w:t xml:space="preserve">RTX's Collins Aerospace was awarded contracts to supply main power generation systems, interconnect drive system, SmartProbe air data system, cockpit seating, and ice protection system for the MV-75. Systems leverage commercial technologies with millions of flight hours. </w:t>
      </w:r>
      <w:r>
        <w:rPr>
          <w:rFonts w:ascii="Calibri" w:hAnsi="Calibri"/>
          <w:b/>
          <w:color w:val="525866"/>
          <w:sz w:val="22"/>
        </w:rPr>
        <w:t xml:space="preserve">Read-through: </w:t>
      </w:r>
      <w:r>
        <w:rPr>
          <w:rFonts w:ascii="Calibri" w:hAnsi="Calibri"/>
          <w:color w:val="525866"/>
          <w:sz w:val="22"/>
        </w:rPr>
        <w:t>Confirms MV-75 program is actively contracting subsystems — positive for program execution timeline and Bell's delivery confidence.</w:t>
      </w:r>
    </w:p>
    <w:p>
      <w:pPr>
        <w:pStyle w:val="ListBullet"/>
        <w:ind w:left="360" w:hanging="360"/>
      </w:pPr>
      <w:r>
        <w:rPr>
          <w:rFonts w:ascii="Calibri" w:hAnsi="Calibri"/>
          <w:b/>
          <w:color w:val="525866"/>
          <w:sz w:val="22"/>
        </w:rPr>
        <w:t xml:space="preserve">Business jet OE demand strong: </w:t>
      </w:r>
      <w:r>
        <w:rPr>
          <w:rFonts w:ascii="Calibri" w:hAnsi="Calibri"/>
          <w:color w:val="525866"/>
          <w:sz w:val="22"/>
        </w:rPr>
        <w:t xml:space="preserve">RTX noted "airframers continue to cite strong demand, with further growth expected in the second half of the year, driving the need for OE products across narrowbody, widebody, and business jet platforms." Collins commercial OE sales up 26% in Q2. </w:t>
      </w:r>
      <w:r>
        <w:rPr>
          <w:rFonts w:ascii="Calibri" w:hAnsi="Calibri"/>
          <w:b/>
          <w:color w:val="525866"/>
          <w:sz w:val="22"/>
        </w:rPr>
        <w:t xml:space="preserve">Read-through: </w:t>
      </w:r>
      <w:r>
        <w:rPr>
          <w:rFonts w:ascii="Calibri" w:hAnsi="Calibri"/>
          <w:color w:val="525866"/>
          <w:sz w:val="22"/>
        </w:rPr>
        <w:t>Positive for Textron Aviation's Citation and King Air delivery cadence in Q2 and H2 2026.</w:t>
      </w:r>
    </w:p>
    <w:p>
      <w:pPr>
        <w:pStyle w:val="ListBullet"/>
        <w:ind w:left="360" w:hanging="360"/>
      </w:pPr>
      <w:r>
        <w:rPr>
          <w:rFonts w:ascii="Calibri" w:hAnsi="Calibri"/>
          <w:b/>
          <w:color w:val="525866"/>
          <w:sz w:val="22"/>
        </w:rPr>
        <w:t xml:space="preserve">Defense budget: $1.1T FY2027 base request, record $289B backlog: </w:t>
      </w:r>
      <w:r>
        <w:rPr>
          <w:rFonts w:ascii="Calibri" w:hAnsi="Calibri"/>
          <w:color w:val="525866"/>
          <w:sz w:val="22"/>
        </w:rPr>
        <w:t xml:space="preserve">RTX raised FY2026 adjusted EPS to $7.10–$7.25 (from $6.70–$6.90) and sales to $95–$96B. Raytheon bookings of $19.9B in Q2 with book-to-bill of 2.42x. </w:t>
      </w:r>
      <w:r>
        <w:rPr>
          <w:rFonts w:ascii="Calibri" w:hAnsi="Calibri"/>
          <w:b/>
          <w:color w:val="525866"/>
          <w:sz w:val="22"/>
        </w:rPr>
        <w:t xml:space="preserve">Read-through: </w:t>
      </w:r>
      <w:r>
        <w:rPr>
          <w:rFonts w:ascii="Calibri" w:hAnsi="Calibri"/>
          <w:color w:val="525866"/>
          <w:sz w:val="22"/>
        </w:rPr>
        <w:t>Broad defense demand acceleration is a positive backdrop for TXT's Bell military and Systems segments.</w:t>
      </w:r>
    </w:p>
    <w:p>
      <w:pPr>
        <w:pStyle w:val="ListBullet"/>
        <w:ind w:left="360" w:hanging="360"/>
      </w:pPr>
      <w:r>
        <w:rPr>
          <w:rFonts w:ascii="Calibri" w:hAnsi="Calibri"/>
          <w:b/>
          <w:color w:val="525866"/>
          <w:sz w:val="22"/>
        </w:rPr>
        <w:t xml:space="preserve">Supply chain investment: </w:t>
      </w:r>
      <w:r>
        <w:rPr>
          <w:rFonts w:ascii="Calibri" w:hAnsi="Calibri"/>
          <w:color w:val="525866"/>
          <w:sz w:val="22"/>
        </w:rPr>
        <w:t xml:space="preserve">RTX is actively engaging supply chain for multi-year framework agreements, providing suppliers with 7-year firm orders to enable capacity investment. </w:t>
      </w:r>
      <w:r>
        <w:rPr>
          <w:rFonts w:ascii="Calibri" w:hAnsi="Calibri"/>
          <w:b/>
          <w:color w:val="525866"/>
          <w:sz w:val="22"/>
        </w:rPr>
        <w:t xml:space="preserve">Read-through: </w:t>
      </w:r>
      <w:r>
        <w:rPr>
          <w:rFonts w:ascii="Calibri" w:hAnsi="Calibri"/>
          <w:color w:val="525866"/>
          <w:sz w:val="22"/>
        </w:rPr>
        <w:t>Positive for Textron Aviation's supply chain recovery narrative — if RTX's suppliers are getting more visibility, TXT's Aviation suppliers may also be stabilizing.</w:t>
      </w:r>
    </w:p>
    <w:p>
      <w:pPr>
        <w:pStyle w:val="Heading3"/>
      </w:pPr>
      <w:r>
        <w:rPr>
          <w:rFonts w:ascii="Calibri" w:hAnsi="Calibri"/>
          <w:b/>
          <w:color w:val="3B4259"/>
          <w:sz w:val="24"/>
        </w:rPr>
        <w:t>Northrop Grumman (NOC) — Q2 2026 Earnings Call (July 21, 2026)</w:t>
      </w:r>
    </w:p>
    <w:p>
      <w:r>
        <w:rPr>
          <w:rFonts w:ascii="Calibri" w:hAnsi="Calibri"/>
          <w:b/>
          <w:color w:val="525866"/>
          <w:sz w:val="22"/>
        </w:rPr>
        <w:t xml:space="preserve">Relevance: </w:t>
      </w:r>
      <w:r>
        <w:rPr>
          <w:rFonts w:ascii="Calibri" w:hAnsi="Calibri"/>
          <w:color w:val="525866"/>
          <w:sz w:val="22"/>
        </w:rPr>
        <w:t>Medium — NOC's commentary on defense budget, autonomous systems demand, and the $350B reconciliation package are relevant to Textron Systems' unmanned systems business.</w:t>
      </w:r>
    </w:p>
    <w:p>
      <w:pPr>
        <w:pStyle w:val="ListBullet"/>
        <w:ind w:left="360" w:hanging="360"/>
      </w:pPr>
      <w:r>
        <w:rPr>
          <w:rFonts w:ascii="Calibri" w:hAnsi="Calibri"/>
          <w:b/>
          <w:color w:val="525866"/>
          <w:sz w:val="22"/>
        </w:rPr>
        <w:t xml:space="preserve">Defense budget: $1.1T FY2027 base request, $350B reconciliation package: </w:t>
      </w:r>
      <w:r>
        <w:rPr>
          <w:rFonts w:ascii="Calibri" w:hAnsi="Calibri"/>
          <w:color w:val="525866"/>
          <w:sz w:val="22"/>
        </w:rPr>
        <w:t xml:space="preserve">House and Senate Armed Services Committees each supported $1.1T base budget (+10% from FY2026). Administration submitted $67B supplemental request for weapon replenishment and readiness. Congress considering $350B reconciliation package for military modernization. </w:t>
      </w:r>
      <w:r>
        <w:rPr>
          <w:rFonts w:ascii="Calibri" w:hAnsi="Calibri"/>
          <w:b/>
          <w:color w:val="525866"/>
          <w:sz w:val="22"/>
        </w:rPr>
        <w:t xml:space="preserve">Read-through: </w:t>
      </w:r>
      <w:r>
        <w:rPr>
          <w:rFonts w:ascii="Calibri" w:hAnsi="Calibri"/>
          <w:color w:val="525866"/>
          <w:sz w:val="22"/>
        </w:rPr>
        <w:t>Strongly positive for MV-75 supplemental GFY26 funding prospects and Textron Systems' unmanned systems programs.</w:t>
      </w:r>
    </w:p>
    <w:p>
      <w:pPr>
        <w:pStyle w:val="ListBullet"/>
        <w:ind w:left="360" w:hanging="360"/>
      </w:pPr>
      <w:r>
        <w:rPr>
          <w:rFonts w:ascii="Calibri" w:hAnsi="Calibri"/>
          <w:b/>
          <w:color w:val="525866"/>
          <w:sz w:val="22"/>
        </w:rPr>
        <w:t xml:space="preserve">Record $105B backlog, FY2026 book-to-bill ≥1.25x: </w:t>
      </w:r>
      <w:r>
        <w:rPr>
          <w:rFonts w:ascii="Calibri" w:hAnsi="Calibri"/>
          <w:color w:val="525866"/>
          <w:sz w:val="22"/>
        </w:rPr>
        <w:t xml:space="preserve">NOC's Q2 awards totaled $20B, driving backlog up 17% YoY to a new record. Sales increased 5% to $10.9B. Full-year sales projected at $44B midpoint (5%+ organic growth). </w:t>
      </w:r>
      <w:r>
        <w:rPr>
          <w:rFonts w:ascii="Calibri" w:hAnsi="Calibri"/>
          <w:b/>
          <w:color w:val="525866"/>
          <w:sz w:val="22"/>
        </w:rPr>
        <w:t xml:space="preserve">Read-through: </w:t>
      </w:r>
      <w:r>
        <w:rPr>
          <w:rFonts w:ascii="Calibri" w:hAnsi="Calibri"/>
          <w:color w:val="525866"/>
          <w:sz w:val="22"/>
        </w:rPr>
        <w:t>Broad defense demand acceleration supportive of TXT's Bell military and Systems segments.</w:t>
      </w:r>
    </w:p>
    <w:p>
      <w:pPr>
        <w:pStyle w:val="ListBullet"/>
        <w:ind w:left="360" w:hanging="360"/>
      </w:pPr>
      <w:r>
        <w:rPr>
          <w:rFonts w:ascii="Calibri" w:hAnsi="Calibri"/>
          <w:b/>
          <w:color w:val="525866"/>
          <w:sz w:val="22"/>
        </w:rPr>
        <w:t xml:space="preserve">Autonomous systems demand surging: </w:t>
      </w:r>
      <w:r>
        <w:rPr>
          <w:rFonts w:ascii="Calibri" w:hAnsi="Calibri"/>
          <w:color w:val="525866"/>
          <w:sz w:val="22"/>
        </w:rPr>
        <w:t xml:space="preserve">NOC highlighted "unprecedented levels of defense investment" with NATO allies pledging $50B in additional investments. Triton autonomous aircraft selected by NATO (up to 5 aircraft). FMS cases being approved at "much more rapid rate" than prior years. </w:t>
      </w:r>
      <w:r>
        <w:rPr>
          <w:rFonts w:ascii="Calibri" w:hAnsi="Calibri"/>
          <w:b/>
          <w:color w:val="525866"/>
          <w:sz w:val="22"/>
        </w:rPr>
        <w:t xml:space="preserve">Read-through: </w:t>
      </w:r>
      <w:r>
        <w:rPr>
          <w:rFonts w:ascii="Calibri" w:hAnsi="Calibri"/>
          <w:color w:val="525866"/>
          <w:sz w:val="22"/>
        </w:rPr>
        <w:t>Positive for Textron Systems' unmanned aircraft systems business (LASSO prototype, ARV preproduction contract).</w:t>
      </w:r>
    </w:p>
    <w:p>
      <w:pPr>
        <w:pStyle w:val="ListBullet"/>
        <w:ind w:left="360" w:hanging="360"/>
      </w:pPr>
      <w:r>
        <w:rPr>
          <w:rFonts w:ascii="Calibri" w:hAnsi="Calibri"/>
          <w:b/>
          <w:color w:val="525866"/>
          <w:sz w:val="22"/>
        </w:rPr>
        <w:t xml:space="preserve">Multiyear agreements gaining traction: </w:t>
      </w:r>
      <w:r>
        <w:rPr>
          <w:rFonts w:ascii="Calibri" w:hAnsi="Calibri"/>
          <w:color w:val="525866"/>
          <w:sz w:val="22"/>
        </w:rPr>
        <w:t xml:space="preserve">NOC has 10 multiyear agreements for missile acceleration representing up to $10B in sales over 7 years. DoW embracing multiyear agreements to provide clear demand signals. </w:t>
      </w:r>
      <w:r>
        <w:rPr>
          <w:rFonts w:ascii="Calibri" w:hAnsi="Calibri"/>
          <w:b/>
          <w:color w:val="525866"/>
          <w:sz w:val="22"/>
        </w:rPr>
        <w:t xml:space="preserve">Read-through: </w:t>
      </w:r>
      <w:r>
        <w:rPr>
          <w:rFonts w:ascii="Calibri" w:hAnsi="Calibri"/>
          <w:color w:val="525866"/>
          <w:sz w:val="22"/>
        </w:rPr>
        <w:t>Positive for Bell's MV-75 LRIP contract structure and potential for multi-year production agreements.</w:t>
      </w:r>
    </w:p>
    <w:p>
      <w:pPr>
        <w:pStyle w:val="Heading3"/>
      </w:pPr>
      <w:r>
        <w:rPr>
          <w:rFonts w:ascii="Calibri" w:hAnsi="Calibri"/>
          <w:b/>
          <w:color w:val="3B4259"/>
          <w:sz w:val="24"/>
        </w:rPr>
        <w:t>Embraer (ERJ) — Q1 2026 Earnings Call (May 8, 2026)</w:t>
      </w:r>
    </w:p>
    <w:p>
      <w:r>
        <w:rPr>
          <w:rFonts w:ascii="Calibri" w:hAnsi="Calibri"/>
          <w:b/>
          <w:color w:val="525866"/>
          <w:sz w:val="22"/>
        </w:rPr>
        <w:t xml:space="preserve">Relevance: </w:t>
      </w:r>
      <w:r>
        <w:rPr>
          <w:rFonts w:ascii="Calibri" w:hAnsi="Calibri"/>
          <w:color w:val="525866"/>
          <w:sz w:val="22"/>
        </w:rPr>
        <w:t>Medium — Embraer is TXT's closest peer in business jets (Praetor vs. Citation). ERJ's Q1 2026 commentary on executive jet demand, supply chain, and delivery cadence is a direct read-through for Textron Aviation.</w:t>
      </w:r>
    </w:p>
    <w:p>
      <w:pPr>
        <w:pStyle w:val="ListBullet"/>
        <w:ind w:left="360" w:hanging="360"/>
      </w:pPr>
      <w:r>
        <w:rPr>
          <w:rFonts w:ascii="Calibri" w:hAnsi="Calibri"/>
          <w:b/>
          <w:color w:val="525866"/>
          <w:sz w:val="22"/>
        </w:rPr>
        <w:t xml:space="preserve">Business jet demand remains strong, selling into 2029: </w:t>
      </w:r>
      <w:r>
        <w:rPr>
          <w:rFonts w:ascii="Calibri" w:hAnsi="Calibri"/>
          <w:color w:val="525866"/>
          <w:sz w:val="22"/>
        </w:rPr>
        <w:t xml:space="preserve">ERJ reported its "best first quarter of the decade" for Executive Aviation, delivering 29 executive jets (26% YoY growth, 7 points above 5-year average). Management stated "demand is still strong for our business jets" and they are "selling our products now into 2029." </w:t>
      </w:r>
      <w:r>
        <w:rPr>
          <w:rFonts w:ascii="Calibri" w:hAnsi="Calibri"/>
          <w:b/>
          <w:color w:val="525866"/>
          <w:sz w:val="22"/>
        </w:rPr>
        <w:t xml:space="preserve">Read-through: </w:t>
      </w:r>
      <w:r>
        <w:rPr>
          <w:rFonts w:ascii="Calibri" w:hAnsi="Calibri"/>
          <w:color w:val="525866"/>
          <w:sz w:val="22"/>
        </w:rPr>
        <w:t>Positive for Textron Aviation's Citation and King Air order book and backlog sustainability.</w:t>
      </w:r>
    </w:p>
    <w:p>
      <w:pPr>
        <w:pStyle w:val="ListBullet"/>
        <w:ind w:left="360" w:hanging="360"/>
      </w:pPr>
      <w:r>
        <w:rPr>
          <w:rFonts w:ascii="Calibri" w:hAnsi="Calibri"/>
          <w:b/>
          <w:color w:val="525866"/>
          <w:sz w:val="22"/>
        </w:rPr>
        <w:t xml:space="preserve">No demand impact from macro/tariffs on executive jets: </w:t>
      </w:r>
      <w:r>
        <w:rPr>
          <w:rFonts w:ascii="Calibri" w:hAnsi="Calibri"/>
          <w:color w:val="525866"/>
          <w:sz w:val="22"/>
        </w:rPr>
        <w:t xml:space="preserve">ERJ noted "on the Executive side, we are not seeing any impact" from the war or oil prices, with flight hours "reaching record levels month after month." Tariffs impacted COGS but products remain "very competitive" with price adjustments. </w:t>
      </w:r>
      <w:r>
        <w:rPr>
          <w:rFonts w:ascii="Calibri" w:hAnsi="Calibri"/>
          <w:b/>
          <w:color w:val="525866"/>
          <w:sz w:val="22"/>
        </w:rPr>
        <w:t xml:space="preserve">Read-through: </w:t>
      </w:r>
      <w:r>
        <w:rPr>
          <w:rFonts w:ascii="Calibri" w:hAnsi="Calibri"/>
          <w:color w:val="525866"/>
          <w:sz w:val="22"/>
        </w:rPr>
        <w:t>Positive for Textron Aviation's pricing power and demand resilience heading into Q2.</w:t>
      </w:r>
    </w:p>
    <w:p>
      <w:pPr>
        <w:pStyle w:val="ListBullet"/>
        <w:ind w:left="360" w:hanging="360"/>
      </w:pPr>
      <w:r>
        <w:rPr>
          <w:rFonts w:ascii="Calibri" w:hAnsi="Calibri"/>
          <w:b/>
          <w:color w:val="525866"/>
          <w:sz w:val="22"/>
        </w:rPr>
        <w:t xml:space="preserve">Supply chain improving but still lumpy: </w:t>
      </w:r>
      <w:r>
        <w:rPr>
          <w:rFonts w:ascii="Calibri" w:hAnsi="Calibri"/>
          <w:color w:val="525866"/>
          <w:sz w:val="22"/>
        </w:rPr>
        <w:t xml:space="preserve">ERJ noted "a lot of improvements" in supply chain but still has "some pacers" pushing deliveries to future quarters. Executive Jets production is "almost at production level" but commercial jets face "some more challenges." </w:t>
      </w:r>
      <w:r>
        <w:rPr>
          <w:rFonts w:ascii="Calibri" w:hAnsi="Calibri"/>
          <w:b/>
          <w:color w:val="525866"/>
          <w:sz w:val="22"/>
        </w:rPr>
        <w:t xml:space="preserve">Read-through: </w:t>
      </w:r>
      <w:r>
        <w:rPr>
          <w:rFonts w:ascii="Calibri" w:hAnsi="Calibri"/>
          <w:color w:val="525866"/>
          <w:sz w:val="22"/>
        </w:rPr>
        <w:t>Mixed — supply chain improvement is positive for TXT Aviation's delivery cadence, but ongoing lumpiness is consistent with TXT's own cautious tone on supply chain recovery.</w:t>
      </w:r>
    </w:p>
    <w:p>
      <w:pPr>
        <w:pStyle w:val="ListBullet"/>
        <w:ind w:left="360" w:hanging="360"/>
      </w:pPr>
      <w:r>
        <w:rPr>
          <w:rFonts w:ascii="Calibri" w:hAnsi="Calibri"/>
          <w:b/>
          <w:color w:val="525866"/>
          <w:sz w:val="22"/>
        </w:rPr>
        <w:t xml:space="preserve">Record $32B backlog (6th consecutive record): </w:t>
      </w:r>
      <w:r>
        <w:rPr>
          <w:rFonts w:ascii="Calibri" w:hAnsi="Calibri"/>
          <w:color w:val="525866"/>
          <w:sz w:val="22"/>
        </w:rPr>
        <w:t xml:space="preserve">ERJ's backlog reached $32B in Q1 2026, up 22% YoY, with approximately $20B in options that could expand backlog beyond $50B. Targeting 200 executive jets per year by end of decade. </w:t>
      </w:r>
      <w:r>
        <w:rPr>
          <w:rFonts w:ascii="Calibri" w:hAnsi="Calibri"/>
          <w:b/>
          <w:color w:val="525866"/>
          <w:sz w:val="22"/>
        </w:rPr>
        <w:t xml:space="preserve">Read-through: </w:t>
      </w:r>
      <w:r>
        <w:rPr>
          <w:rFonts w:ascii="Calibri" w:hAnsi="Calibri"/>
          <w:color w:val="525866"/>
          <w:sz w:val="22"/>
        </w:rPr>
        <w:t>Positive for Textron Aviation's own backlog trajectory — TXT's Aviation backlog was $8B at Q1 end, up $276M from year-end 2025.</w:t>
      </w:r>
    </w:p>
    <w:p>
      <w:pPr>
        <w:pStyle w:val="Heading3"/>
      </w:pPr>
      <w:r>
        <w:rPr>
          <w:rFonts w:ascii="Calibri" w:hAnsi="Calibri"/>
          <w:b/>
          <w:color w:val="3B4259"/>
          <w:sz w:val="24"/>
        </w:rPr>
        <w:t>Huntington Ingalls Industries (HII) — Q1 2026 Earnings Call (May 5, 2026)</w:t>
      </w:r>
    </w:p>
    <w:p>
      <w:r>
        <w:rPr>
          <w:rFonts w:ascii="Calibri" w:hAnsi="Calibri"/>
          <w:b/>
          <w:color w:val="525866"/>
          <w:sz w:val="22"/>
        </w:rPr>
        <w:t xml:space="preserve">Relevance: </w:t>
      </w:r>
      <w:r>
        <w:rPr>
          <w:rFonts w:ascii="Calibri" w:hAnsi="Calibri"/>
          <w:color w:val="525866"/>
          <w:sz w:val="22"/>
        </w:rPr>
        <w:t>Low-Medium — HII is a shipbuilder with limited direct overlap with TXT, but its commentary on the defense budget and autonomous systems is relevant to Textron Systems.</w:t>
      </w:r>
    </w:p>
    <w:p>
      <w:pPr>
        <w:pStyle w:val="ListBullet"/>
        <w:ind w:left="360" w:hanging="360"/>
      </w:pPr>
      <w:r>
        <w:rPr>
          <w:rFonts w:ascii="Calibri" w:hAnsi="Calibri"/>
          <w:b/>
          <w:color w:val="525866"/>
          <w:sz w:val="22"/>
        </w:rPr>
        <w:t xml:space="preserve">FY2026 defense appropriations finalized with bipartisan support: </w:t>
      </w:r>
      <w:r>
        <w:rPr>
          <w:rFonts w:ascii="Calibri" w:hAnsi="Calibri"/>
          <w:color w:val="525866"/>
          <w:sz w:val="22"/>
        </w:rPr>
        <w:t xml:space="preserve">Congress finalized Defense Appropriations for FY2026 in February with continued bipartisan support. FY2027 budget request submitted in early April with continued investment in shipbuilding and autonomous systems. </w:t>
      </w:r>
      <w:r>
        <w:rPr>
          <w:rFonts w:ascii="Calibri" w:hAnsi="Calibri"/>
          <w:b/>
          <w:color w:val="525866"/>
          <w:sz w:val="22"/>
        </w:rPr>
        <w:t xml:space="preserve">Read-through: </w:t>
      </w:r>
      <w:r>
        <w:rPr>
          <w:rFonts w:ascii="Calibri" w:hAnsi="Calibri"/>
          <w:color w:val="525866"/>
          <w:sz w:val="22"/>
        </w:rPr>
        <w:t>Positive for Textron Systems' defense programs and MV-75 supplemental funding prospects.</w:t>
      </w:r>
    </w:p>
    <w:p>
      <w:pPr>
        <w:pStyle w:val="ListBullet"/>
        <w:ind w:left="360" w:hanging="360"/>
      </w:pPr>
      <w:r>
        <w:rPr>
          <w:rFonts w:ascii="Calibri" w:hAnsi="Calibri"/>
          <w:b/>
          <w:color w:val="525866"/>
          <w:sz w:val="22"/>
        </w:rPr>
        <w:t xml:space="preserve">Autonomous systems demand increasing: </w:t>
      </w:r>
      <w:r>
        <w:rPr>
          <w:rFonts w:ascii="Calibri" w:hAnsi="Calibri"/>
          <w:color w:val="525866"/>
          <w:sz w:val="22"/>
        </w:rPr>
        <w:t xml:space="preserve">HII's Mission Technologies division highlighted "material increases in FY26 funding and FY27 budget documents" for autonomous systems. FY2027 budget reflects "increased investments in capability enablers, including autonomous systems." </w:t>
      </w:r>
      <w:r>
        <w:rPr>
          <w:rFonts w:ascii="Calibri" w:hAnsi="Calibri"/>
          <w:b/>
          <w:color w:val="525866"/>
          <w:sz w:val="22"/>
        </w:rPr>
        <w:t xml:space="preserve">Read-through: </w:t>
      </w:r>
      <w:r>
        <w:rPr>
          <w:rFonts w:ascii="Calibri" w:hAnsi="Calibri"/>
          <w:color w:val="525866"/>
          <w:sz w:val="22"/>
        </w:rPr>
        <w:t>Positive for Textron Systems' unmanned aircraft systems and LASSO prototype program.</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Key Read-Through for TXT</w:t>
            </w:r>
          </w:p>
        </w:tc>
        <w:tc>
          <w:tcPr>
            <w:tcW w:type="dxa" w:w="1728"/>
            <w:shd w:val="clear" w:color="auto" w:fill="3B4259"/>
          </w:tcPr>
          <w:p>
            <w:r>
              <w:rPr>
                <w:rFonts w:ascii="Calibri" w:hAnsi="Calibri"/>
                <w:b/>
                <w:color w:val="FFFFFF"/>
                <w:sz w:val="22"/>
              </w:rPr>
              <w:t>Signal</w:t>
            </w:r>
          </w:p>
        </w:tc>
        <w:tc>
          <w:tcPr>
            <w:tcW w:type="dxa" w:w="1728"/>
            <w:shd w:val="clear" w:color="auto" w:fill="3B4259"/>
          </w:tcPr>
          <w:p>
            <w:r>
              <w:rPr>
                <w:rFonts w:ascii="Calibri" w:hAnsi="Calibri"/>
                <w:b/>
                <w:color w:val="FFFFFF"/>
                <w:sz w:val="22"/>
              </w:rPr>
              <w:t>TXT Segment Impacted</w:t>
            </w:r>
          </w:p>
        </w:tc>
      </w:tr>
      <w:tr>
        <w:tc>
          <w:tcPr>
            <w:tcW w:type="dxa" w:w="1728"/>
          </w:tcPr>
          <w:p>
            <w:r>
              <w:rPr>
                <w:rFonts w:ascii="Calibri" w:hAnsi="Calibri"/>
                <w:sz w:val="22"/>
              </w:rPr>
              <w:t>LMT</w:t>
            </w:r>
          </w:p>
        </w:tc>
        <w:tc>
          <w:tcPr>
            <w:tcW w:type="dxa" w:w="1728"/>
          </w:tcPr>
          <w:p>
            <w:r>
              <w:rPr>
                <w:rFonts w:ascii="Calibri" w:hAnsi="Calibri"/>
                <w:sz w:val="22"/>
              </w:rPr>
              <w:t>Jul 23, 2026 (Q2 2026)</w:t>
            </w:r>
          </w:p>
        </w:tc>
        <w:tc>
          <w:tcPr>
            <w:tcW w:type="dxa" w:w="1728"/>
          </w:tcPr>
          <w:p>
            <w:r>
              <w:rPr>
                <w:rFonts w:ascii="Calibri" w:hAnsi="Calibri"/>
                <w:sz w:val="22"/>
              </w:rPr>
              <w:t>Sikorsky ramp accelerating; 4 platforms delivering more YoY; 53K potentially 2x deliveries; record $230B backlog; raised FY2026 guidance</w:t>
            </w:r>
          </w:p>
        </w:tc>
        <w:tc>
          <w:tcPr>
            <w:tcW w:type="dxa" w:w="1728"/>
          </w:tcPr>
          <w:p>
            <w:r>
              <w:rPr>
                <w:rFonts w:ascii="Calibri" w:hAnsi="Calibri"/>
                <w:b/>
                <w:color w:val="30A46C"/>
                <w:sz w:val="22"/>
              </w:rPr>
              <w:t>Positive</w:t>
            </w:r>
          </w:p>
        </w:tc>
        <w:tc>
          <w:tcPr>
            <w:tcW w:type="dxa" w:w="1728"/>
          </w:tcPr>
          <w:p>
            <w:r>
              <w:rPr>
                <w:rFonts w:ascii="Calibri" w:hAnsi="Calibri"/>
                <w:sz w:val="22"/>
              </w:rPr>
              <w:t>Bell, Textron Systems</w:t>
            </w:r>
          </w:p>
        </w:tc>
      </w:tr>
      <w:tr>
        <w:tc>
          <w:tcPr>
            <w:tcW w:type="dxa" w:w="1728"/>
          </w:tcPr>
          <w:p>
            <w:r>
              <w:rPr>
                <w:rFonts w:ascii="Calibri" w:hAnsi="Calibri"/>
                <w:sz w:val="22"/>
              </w:rPr>
              <w:t>RTX</w:t>
            </w:r>
          </w:p>
        </w:tc>
        <w:tc>
          <w:tcPr>
            <w:tcW w:type="dxa" w:w="1728"/>
          </w:tcPr>
          <w:p>
            <w:r>
              <w:rPr>
                <w:rFonts w:ascii="Calibri" w:hAnsi="Calibri"/>
                <w:sz w:val="22"/>
              </w:rPr>
              <w:t>Jul 23, 2026 (Q2 2026)</w:t>
            </w:r>
          </w:p>
        </w:tc>
        <w:tc>
          <w:tcPr>
            <w:tcW w:type="dxa" w:w="1728"/>
          </w:tcPr>
          <w:p>
            <w:r>
              <w:rPr>
                <w:rFonts w:ascii="Calibri" w:hAnsi="Calibri"/>
                <w:sz w:val="22"/>
              </w:rPr>
              <w:t>Collins selected for 5 MV-75 systems; business jet OE demand strong; Collins commercial OE +26%; record $289B backlog; raised FY2026 EPS to $7.10-$7.25</w:t>
            </w:r>
          </w:p>
        </w:tc>
        <w:tc>
          <w:tcPr>
            <w:tcW w:type="dxa" w:w="1728"/>
          </w:tcPr>
          <w:p>
            <w:r>
              <w:rPr>
                <w:rFonts w:ascii="Calibri" w:hAnsi="Calibri"/>
                <w:b/>
                <w:color w:val="30A46C"/>
                <w:sz w:val="22"/>
              </w:rPr>
              <w:t>Positive</w:t>
            </w:r>
          </w:p>
        </w:tc>
        <w:tc>
          <w:tcPr>
            <w:tcW w:type="dxa" w:w="1728"/>
          </w:tcPr>
          <w:p>
            <w:r>
              <w:rPr>
                <w:rFonts w:ascii="Calibri" w:hAnsi="Calibri"/>
                <w:sz w:val="22"/>
              </w:rPr>
              <w:t>Bell (MV-75), Textron Aviation</w:t>
            </w:r>
          </w:p>
        </w:tc>
      </w:tr>
      <w:tr>
        <w:tc>
          <w:tcPr>
            <w:tcW w:type="dxa" w:w="1728"/>
          </w:tcPr>
          <w:p>
            <w:r>
              <w:rPr>
                <w:rFonts w:ascii="Calibri" w:hAnsi="Calibri"/>
                <w:sz w:val="22"/>
              </w:rPr>
              <w:t>NOC</w:t>
            </w:r>
          </w:p>
        </w:tc>
        <w:tc>
          <w:tcPr>
            <w:tcW w:type="dxa" w:w="1728"/>
          </w:tcPr>
          <w:p>
            <w:r>
              <w:rPr>
                <w:rFonts w:ascii="Calibri" w:hAnsi="Calibri"/>
                <w:sz w:val="22"/>
              </w:rPr>
              <w:t>Jul 21, 2026 (Q2 2026)</w:t>
            </w:r>
          </w:p>
        </w:tc>
        <w:tc>
          <w:tcPr>
            <w:tcW w:type="dxa" w:w="1728"/>
          </w:tcPr>
          <w:p>
            <w:r>
              <w:rPr>
                <w:rFonts w:ascii="Calibri" w:hAnsi="Calibri"/>
                <w:sz w:val="22"/>
              </w:rPr>
              <w:t>Record $105B backlog; $350B reconciliation package; autonomous systems demand surging; FMS approvals accelerating; 10 multiyear missile agreements</w:t>
            </w:r>
          </w:p>
        </w:tc>
        <w:tc>
          <w:tcPr>
            <w:tcW w:type="dxa" w:w="1728"/>
          </w:tcPr>
          <w:p>
            <w:r>
              <w:rPr>
                <w:rFonts w:ascii="Calibri" w:hAnsi="Calibri"/>
                <w:b/>
                <w:color w:val="30A46C"/>
                <w:sz w:val="22"/>
              </w:rPr>
              <w:t>Positive</w:t>
            </w:r>
          </w:p>
        </w:tc>
        <w:tc>
          <w:tcPr>
            <w:tcW w:type="dxa" w:w="1728"/>
          </w:tcPr>
          <w:p>
            <w:r>
              <w:rPr>
                <w:rFonts w:ascii="Calibri" w:hAnsi="Calibri"/>
                <w:sz w:val="22"/>
              </w:rPr>
              <w:t>Textron Systems, Bell</w:t>
            </w:r>
          </w:p>
        </w:tc>
      </w:tr>
      <w:tr>
        <w:tc>
          <w:tcPr>
            <w:tcW w:type="dxa" w:w="1728"/>
          </w:tcPr>
          <w:p>
            <w:r>
              <w:rPr>
                <w:rFonts w:ascii="Calibri" w:hAnsi="Calibri"/>
                <w:sz w:val="22"/>
              </w:rPr>
              <w:t>ERJ</w:t>
            </w:r>
          </w:p>
        </w:tc>
        <w:tc>
          <w:tcPr>
            <w:tcW w:type="dxa" w:w="1728"/>
          </w:tcPr>
          <w:p>
            <w:r>
              <w:rPr>
                <w:rFonts w:ascii="Calibri" w:hAnsi="Calibri"/>
                <w:sz w:val="22"/>
              </w:rPr>
              <w:t>May 8, 2026 (Q1 2026)</w:t>
            </w:r>
          </w:p>
        </w:tc>
        <w:tc>
          <w:tcPr>
            <w:tcW w:type="dxa" w:w="1728"/>
          </w:tcPr>
          <w:p>
            <w:r>
              <w:rPr>
                <w:rFonts w:ascii="Calibri" w:hAnsi="Calibri"/>
                <w:sz w:val="22"/>
              </w:rPr>
              <w:t>Best Q1 executive jet deliveries of the decade; demand strong, selling into 2029; no macro/tariff impact on executive jets; record $32B backlog</w:t>
            </w:r>
          </w:p>
        </w:tc>
        <w:tc>
          <w:tcPr>
            <w:tcW w:type="dxa" w:w="1728"/>
          </w:tcPr>
          <w:p>
            <w:r>
              <w:rPr>
                <w:rFonts w:ascii="Calibri" w:hAnsi="Calibri"/>
                <w:b/>
                <w:color w:val="30A46C"/>
                <w:sz w:val="22"/>
              </w:rPr>
              <w:t>Positive</w:t>
            </w:r>
          </w:p>
        </w:tc>
        <w:tc>
          <w:tcPr>
            <w:tcW w:type="dxa" w:w="1728"/>
          </w:tcPr>
          <w:p>
            <w:r>
              <w:rPr>
                <w:rFonts w:ascii="Calibri" w:hAnsi="Calibri"/>
                <w:sz w:val="22"/>
              </w:rPr>
              <w:t>Textron Aviation</w:t>
            </w:r>
          </w:p>
        </w:tc>
      </w:tr>
      <w:tr>
        <w:tc>
          <w:tcPr>
            <w:tcW w:type="dxa" w:w="1728"/>
          </w:tcPr>
          <w:p>
            <w:r>
              <w:rPr>
                <w:rFonts w:ascii="Calibri" w:hAnsi="Calibri"/>
                <w:sz w:val="22"/>
              </w:rPr>
              <w:t>HII</w:t>
            </w:r>
          </w:p>
        </w:tc>
        <w:tc>
          <w:tcPr>
            <w:tcW w:type="dxa" w:w="1728"/>
          </w:tcPr>
          <w:p>
            <w:r>
              <w:rPr>
                <w:rFonts w:ascii="Calibri" w:hAnsi="Calibri"/>
                <w:sz w:val="22"/>
              </w:rPr>
              <w:t>May 5, 2026 (Q1 2026)</w:t>
            </w:r>
          </w:p>
        </w:tc>
        <w:tc>
          <w:tcPr>
            <w:tcW w:type="dxa" w:w="1728"/>
          </w:tcPr>
          <w:p>
            <w:r>
              <w:rPr>
                <w:rFonts w:ascii="Calibri" w:hAnsi="Calibri"/>
                <w:sz w:val="22"/>
              </w:rPr>
              <w:t>FY2026 defense appropriations finalized; FY2027 budget shows increased autonomous systems investment; FMS approvals accelerating</w:t>
            </w:r>
          </w:p>
        </w:tc>
        <w:tc>
          <w:tcPr>
            <w:tcW w:type="dxa" w:w="1728"/>
          </w:tcPr>
          <w:p>
            <w:r>
              <w:rPr>
                <w:rFonts w:ascii="Calibri" w:hAnsi="Calibri"/>
                <w:sz w:val="22"/>
              </w:rPr>
              <w:t>Mildly Positive</w:t>
            </w:r>
          </w:p>
        </w:tc>
        <w:tc>
          <w:tcPr>
            <w:tcW w:type="dxa" w:w="1728"/>
          </w:tcPr>
          <w:p>
            <w:r>
              <w:rPr>
                <w:rFonts w:ascii="Calibri" w:hAnsi="Calibri"/>
                <w:sz w:val="22"/>
              </w:rPr>
              <w:t>Textron Systems</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Bell SPINE contract ($300M, announced July 27, 2026)</w:t>
      </w:r>
      <w:r>
        <w:rPr>
          <w:rFonts w:ascii="Calibri" w:hAnsi="Calibri"/>
          <w:color w:val="525866"/>
          <w:sz w:val="22"/>
        </w:rPr>
        <w:t xml:space="preserve"> — a firm-fixed-price contract for H-1 fleet upgrades that demonstrates Bell's ability to win new military work beyond MV-75 and provides near-term revenue visibility. The Flight School Next Phase 4 selection (Bell 505, April 7) is a second positive catalyst for Bell's commercial and training business.</w:t>
      </w:r>
    </w:p>
    <w:p>
      <w:pPr>
        <w:pStyle w:val="ListBullet"/>
        <w:ind w:left="360" w:hanging="360"/>
      </w:pPr>
      <w:r>
        <w:rPr>
          <w:rFonts w:ascii="Calibri" w:hAnsi="Calibri"/>
          <w:b/>
          <w:color w:val="525866"/>
          <w:sz w:val="22"/>
        </w:rPr>
        <w:t xml:space="preserve">Jul 27, 2026 — Bell awarded ~$300M SPINE contract for H-1 fleet upgrades (DoN): </w:t>
      </w:r>
      <w:r>
        <w:rPr>
          <w:rFonts w:ascii="Calibri" w:hAnsi="Calibri"/>
          <w:color w:val="525866"/>
          <w:sz w:val="22"/>
        </w:rPr>
        <w:t xml:space="preserve">Bell Textron awarded an estimated $300M firm-fixed-price, fixed-price incentive, and cost-plus-fixed-fee contract from the Department of Navy for Structural and Power Improvements for NextGen Effects (SPINE) upgrades on up to 49 U.S. Marine Corps AH-1Z Viper and UH-1Y Venom aircraft. Work begins mid-2027 with first deliveries in 2028. </w:t>
      </w:r>
      <w:r>
        <w:rPr>
          <w:rFonts w:ascii="Calibri" w:hAnsi="Calibri"/>
          <w:b/>
          <w:color w:val="525866"/>
          <w:sz w:val="22"/>
        </w:rPr>
        <w:t xml:space="preserve">Implication: </w:t>
      </w:r>
      <w:r>
        <w:rPr>
          <w:rFonts w:ascii="Calibri" w:hAnsi="Calibri"/>
          <w:color w:val="525866"/>
          <w:sz w:val="22"/>
        </w:rPr>
        <w:t>Positive for Bell's military revenue pipeline beyond MV-75; demonstrates ability to win new DoD contracts; provides multi-year revenue visibility.</w:t>
      </w:r>
    </w:p>
    <w:p>
      <w:pPr>
        <w:pStyle w:val="ListBullet"/>
        <w:ind w:left="360" w:hanging="360"/>
      </w:pPr>
      <w:r>
        <w:rPr>
          <w:rFonts w:ascii="Calibri" w:hAnsi="Calibri"/>
          <w:b/>
          <w:color w:val="525866"/>
          <w:sz w:val="22"/>
        </w:rPr>
        <w:t xml:space="preserve">Jul 23, 2026 — Collins Aerospace (RTX) selected to supply 5 key systems for MV-75 Cheyenne: </w:t>
      </w:r>
      <w:r>
        <w:rPr>
          <w:rFonts w:ascii="Calibri" w:hAnsi="Calibri"/>
          <w:color w:val="525866"/>
          <w:sz w:val="22"/>
        </w:rPr>
        <w:t xml:space="preserve">RTX's Collins Aerospace was selected by Bell Textron to provide main power generation systems, interconnect drive system, SmartProbe air data system, cockpit seating, and ice protection system for the MV-75. Systems leverage commercial technologies with millions of flight hours. </w:t>
      </w:r>
      <w:r>
        <w:rPr>
          <w:rFonts w:ascii="Calibri" w:hAnsi="Calibri"/>
          <w:b/>
          <w:color w:val="525866"/>
          <w:sz w:val="22"/>
        </w:rPr>
        <w:t xml:space="preserve">Implication: </w:t>
      </w:r>
      <w:r>
        <w:rPr>
          <w:rFonts w:ascii="Calibri" w:hAnsi="Calibri"/>
          <w:color w:val="525866"/>
          <w:sz w:val="22"/>
        </w:rPr>
        <w:t>Confirms MV-75 subsystem contracting is progressing; use of proven commercial technologies reduces development risk and supports Army's acceleration directive.</w:t>
      </w:r>
    </w:p>
    <w:p>
      <w:pPr>
        <w:pStyle w:val="ListBullet"/>
        <w:ind w:left="360" w:hanging="360"/>
      </w:pPr>
      <w:r>
        <w:rPr>
          <w:rFonts w:ascii="Calibri" w:hAnsi="Calibri"/>
          <w:b/>
          <w:color w:val="525866"/>
          <w:sz w:val="22"/>
        </w:rPr>
        <w:t xml:space="preserve">Jul 21, 2026 — Bell Training Academy hits 240,000 flight hour milestone: </w:t>
      </w:r>
      <w:r>
        <w:rPr>
          <w:rFonts w:ascii="Calibri" w:hAnsi="Calibri"/>
          <w:color w:val="525866"/>
          <w:sz w:val="22"/>
        </w:rPr>
        <w:t xml:space="preserve">Bell Textron announced a new milestone of 240,000 flight hours for the Bell Training Academy (BTA), reflecting ongoing dedication to safety and innovative learning. </w:t>
      </w:r>
      <w:r>
        <w:rPr>
          <w:rFonts w:ascii="Calibri" w:hAnsi="Calibri"/>
          <w:b/>
          <w:color w:val="525866"/>
          <w:sz w:val="22"/>
        </w:rPr>
        <w:t xml:space="preserve">Implication: </w:t>
      </w:r>
      <w:r>
        <w:rPr>
          <w:rFonts w:ascii="Calibri" w:hAnsi="Calibri"/>
          <w:color w:val="525866"/>
          <w:sz w:val="22"/>
        </w:rPr>
        <w:t>Positive for Bell's commercial training business and Flight School Next bid; demonstrates operational scale.</w:t>
      </w:r>
    </w:p>
    <w:p>
      <w:pPr>
        <w:pStyle w:val="ListBullet"/>
        <w:ind w:left="360" w:hanging="360"/>
      </w:pPr>
      <w:r>
        <w:rPr>
          <w:rFonts w:ascii="Calibri" w:hAnsi="Calibri"/>
          <w:b/>
          <w:color w:val="525866"/>
          <w:sz w:val="22"/>
        </w:rPr>
        <w:t xml:space="preserve">Jul 1, 2026 — Textron announces Q2 2026 earnings release date (July 28, 2026): </w:t>
      </w:r>
      <w:r>
        <w:rPr>
          <w:rFonts w:ascii="Calibri" w:hAnsi="Calibri"/>
          <w:color w:val="525866"/>
          <w:sz w:val="22"/>
        </w:rPr>
        <w:t xml:space="preserve">Textron confirmed Q2 2026 results will be released July 28, 2026 before market open. </w:t>
      </w:r>
      <w:r>
        <w:rPr>
          <w:rFonts w:ascii="Calibri" w:hAnsi="Calibri"/>
          <w:b/>
          <w:color w:val="525866"/>
          <w:sz w:val="22"/>
        </w:rPr>
        <w:t xml:space="preserve">Implication: </w:t>
      </w:r>
      <w:r>
        <w:rPr>
          <w:rFonts w:ascii="Calibri" w:hAnsi="Calibri"/>
          <w:color w:val="525866"/>
          <w:sz w:val="22"/>
        </w:rPr>
        <w:t>Routine disclosure; confirms earnings timing.</w:t>
      </w:r>
    </w:p>
    <w:p>
      <w:pPr>
        <w:pStyle w:val="ListBullet"/>
        <w:ind w:left="360" w:hanging="360"/>
      </w:pPr>
      <w:r>
        <w:rPr>
          <w:rFonts w:ascii="Calibri" w:hAnsi="Calibri"/>
          <w:b/>
          <w:color w:val="525866"/>
          <w:sz w:val="22"/>
        </w:rPr>
        <w:t xml:space="preserve">Apr 13, 2026 — Bell 505 selected for Army Flight School Next Phase 4: </w:t>
      </w:r>
      <w:r>
        <w:rPr>
          <w:rFonts w:ascii="Calibri" w:hAnsi="Calibri"/>
          <w:color w:val="525866"/>
          <w:sz w:val="22"/>
        </w:rPr>
        <w:t xml:space="preserve">Bell Textron and M1 Support Services were selected to advance to Phase 4 of the Army's Flight School Next initiative, with the Bell 505 aircraft selected for contractor-owned and operated pilot training. Partners include DigiFlight, Delaware Resource Group, V2X, Alpha 1 Aerospace, Semper Fly, and TRU Simulation. </w:t>
      </w:r>
      <w:r>
        <w:rPr>
          <w:rFonts w:ascii="Calibri" w:hAnsi="Calibri"/>
          <w:b/>
          <w:color w:val="525866"/>
          <w:sz w:val="22"/>
        </w:rPr>
        <w:t xml:space="preserve">Implication: </w:t>
      </w:r>
      <w:r>
        <w:rPr>
          <w:rFonts w:ascii="Calibri" w:hAnsi="Calibri"/>
          <w:color w:val="525866"/>
          <w:sz w:val="22"/>
        </w:rPr>
        <w:t>Significant win for Bell's commercial and training business; management had guided for a Flight School Next decision "by the end of Q2 2026." Positive for Bell's commercial revenue trajectory and 505 platform demand.</w:t>
      </w:r>
    </w:p>
    <w:p>
      <w:pPr>
        <w:pStyle w:val="ListBullet"/>
        <w:ind w:left="360" w:hanging="360"/>
      </w:pPr>
      <w:r>
        <w:rPr>
          <w:rFonts w:ascii="Calibri" w:hAnsi="Calibri"/>
          <w:b/>
          <w:color w:val="525866"/>
          <w:sz w:val="22"/>
        </w:rPr>
        <w:t xml:space="preserve">May 1, 2026 — Textron shareholders approve directors, auditors, and executive pay at Annual Meeting: </w:t>
      </w:r>
      <w:r>
        <w:rPr>
          <w:rFonts w:ascii="Calibri" w:hAnsi="Calibri"/>
          <w:color w:val="525866"/>
          <w:sz w:val="22"/>
        </w:rPr>
        <w:t xml:space="preserve">Routine annual meeting approvals with no material governance changes. </w:t>
      </w:r>
      <w:r>
        <w:rPr>
          <w:rFonts w:ascii="Calibri" w:hAnsi="Calibri"/>
          <w:b/>
          <w:color w:val="525866"/>
          <w:sz w:val="22"/>
        </w:rPr>
        <w:t xml:space="preserve">Implication: </w:t>
      </w:r>
      <w:r>
        <w:rPr>
          <w:rFonts w:ascii="Calibri" w:hAnsi="Calibri"/>
          <w:color w:val="525866"/>
          <w:sz w:val="22"/>
        </w:rPr>
        <w:t>No material impact.</w:t>
      </w:r>
    </w:p>
    <w:p>
      <w:pPr>
        <w:pStyle w:val="ListBullet"/>
        <w:ind w:left="360" w:hanging="360"/>
      </w:pPr>
      <w:r>
        <w:rPr>
          <w:rFonts w:ascii="Calibri" w:hAnsi="Calibri"/>
          <w:b/>
          <w:color w:val="525866"/>
          <w:sz w:val="22"/>
        </w:rPr>
        <w:t xml:space="preserve">Ongoing — MV-75 GFY26 supplemental funding: </w:t>
      </w:r>
      <w:r>
        <w:rPr>
          <w:rFonts w:ascii="Calibri" w:hAnsi="Calibri"/>
          <w:color w:val="525866"/>
          <w:sz w:val="22"/>
        </w:rPr>
        <w:t xml:space="preserve">The Army is "actively pursuing additional funding" for the MV-75 program for the remainder of GFY26, as the Army's acceleration directive came after the FY26 budget was submitted. Management expressed confidence in Army securing supplemental funding, citing the strong FYDP request ($2.3B in FY2027, scaling to $3.8B in FY2031). </w:t>
      </w:r>
      <w:r>
        <w:rPr>
          <w:rFonts w:ascii="Calibri" w:hAnsi="Calibri"/>
          <w:b/>
          <w:color w:val="525866"/>
          <w:sz w:val="22"/>
        </w:rPr>
        <w:t xml:space="preserve">Implication: </w:t>
      </w:r>
      <w:r>
        <w:rPr>
          <w:rFonts w:ascii="Calibri" w:hAnsi="Calibri"/>
          <w:color w:val="525866"/>
          <w:sz w:val="22"/>
        </w:rPr>
        <w:t>Key risk/catalyst for Q2 print — any update on supplemental funding resolution will be closely watched.</w:t>
      </w:r>
    </w:p>
    <w:p>
      <w:pPr>
        <w:pStyle w:val="ListBullet"/>
        <w:ind w:left="360" w:hanging="360"/>
      </w:pPr>
      <w:r>
        <w:rPr>
          <w:rFonts w:ascii="Calibri" w:hAnsi="Calibri"/>
          <w:b/>
          <w:color w:val="525866"/>
          <w:sz w:val="22"/>
        </w:rPr>
        <w:t xml:space="preserve">Ongoing — Industrial segment separation process: </w:t>
      </w:r>
      <w:r>
        <w:rPr>
          <w:rFonts w:ascii="Calibri" w:hAnsi="Calibri"/>
          <w:color w:val="525866"/>
          <w:sz w:val="22"/>
        </w:rPr>
        <w:t xml:space="preserve">Textron is evaluating sale vs. tax-free spin-off of Industrial segment (Kautex + Specialized Vehicles), targeting completion within 12–18 months of the April 30, 2026 announcement. No updates since Q1 earnings. </w:t>
      </w:r>
      <w:r>
        <w:rPr>
          <w:rFonts w:ascii="Calibri" w:hAnsi="Calibri"/>
          <w:b/>
          <w:color w:val="525866"/>
          <w:sz w:val="22"/>
        </w:rPr>
        <w:t xml:space="preserve">Implication: </w:t>
      </w:r>
      <w:r>
        <w:rPr>
          <w:rFonts w:ascii="Calibri" w:hAnsi="Calibri"/>
          <w:color w:val="525866"/>
          <w:sz w:val="22"/>
        </w:rPr>
        <w:t>Any process update (advisor selection, buyer interest, spin-off structure) would be a significant catalyst; silence on Q2 call would be neutral.</w:t>
      </w:r>
    </w:p>
    <w:p>
      <w:pPr>
        <w:pStyle w:val="ListBullet"/>
        <w:ind w:left="360" w:hanging="360"/>
      </w:pPr>
      <w:r>
        <w:rPr>
          <w:rFonts w:ascii="Calibri" w:hAnsi="Calibri"/>
          <w:b/>
          <w:color w:val="525866"/>
          <w:sz w:val="22"/>
        </w:rPr>
        <w:t xml:space="preserve">Defense budget tailwinds — $1.1T FY2027 base request, $350B reconciliation package: </w:t>
      </w:r>
      <w:r>
        <w:rPr>
          <w:rFonts w:ascii="Calibri" w:hAnsi="Calibri"/>
          <w:color w:val="525866"/>
          <w:sz w:val="22"/>
        </w:rPr>
        <w:t xml:space="preserve">Multiple peers (LMT, RTX, NOC) highlighted bipartisan support for $1.1T FY2027 defense base budget (+10-25% YoY) and $350B reconciliation package for military modernization. FMS approvals accelerating. </w:t>
      </w:r>
      <w:r>
        <w:rPr>
          <w:rFonts w:ascii="Calibri" w:hAnsi="Calibri"/>
          <w:b/>
          <w:color w:val="525866"/>
          <w:sz w:val="22"/>
        </w:rPr>
        <w:t xml:space="preserve">Implication: </w:t>
      </w:r>
      <w:r>
        <w:rPr>
          <w:rFonts w:ascii="Calibri" w:hAnsi="Calibri"/>
          <w:color w:val="525866"/>
          <w:sz w:val="22"/>
        </w:rPr>
        <w:t>Strongly positive macro backdrop for Bell military and Textron Systems; supports MV-75 supplemental funding prospects.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by executives since Q1 earnings. The only notable transaction is a </w:t>
      </w:r>
      <w:r>
        <w:rPr>
          <w:rFonts w:ascii="Calibri" w:hAnsi="Calibri"/>
          <w:b/>
          <w:color w:val="525866"/>
          <w:sz w:val="22"/>
        </w:rPr>
        <w:t>director open-market purchase of $10,300 shares by Thomas A. Kennedy on May 1, 2026</w:t>
      </w:r>
      <w:r>
        <w:rPr>
          <w:rFonts w:ascii="Calibri" w:hAnsi="Calibri"/>
          <w:color w:val="525866"/>
          <w:sz w:val="22"/>
        </w:rPr>
        <w:t xml:space="preserve"> — a modest but directionally positive signal. All other transactions are routine annual director equity grants (code A). No executive officer transactions were filed in the period.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Kennedy, Thomas A.</w:t>
            </w:r>
          </w:p>
        </w:tc>
        <w:tc>
          <w:tcPr>
            <w:tcW w:type="dxa" w:w="1440"/>
          </w:tcPr>
          <w:p>
            <w:r>
              <w:rPr>
                <w:rFonts w:ascii="Calibri" w:hAnsi="Calibri"/>
                <w:sz w:val="22"/>
              </w:rPr>
              <w:t>Director</w:t>
            </w:r>
          </w:p>
        </w:tc>
        <w:tc>
          <w:tcPr>
            <w:tcW w:type="dxa" w:w="1440"/>
          </w:tcPr>
          <w:p>
            <w:r>
              <w:rPr>
                <w:rFonts w:ascii="Calibri" w:hAnsi="Calibri"/>
                <w:b/>
                <w:color w:val="30A46C"/>
                <w:sz w:val="22"/>
              </w:rPr>
              <w:t>Open Market Buy</w:t>
            </w:r>
          </w:p>
        </w:tc>
        <w:tc>
          <w:tcPr>
            <w:tcW w:type="dxa" w:w="1440"/>
          </w:tcPr>
          <w:p>
            <w:r>
              <w:rPr>
                <w:rFonts w:ascii="Calibri" w:hAnsi="Calibri"/>
                <w:sz w:val="22"/>
              </w:rPr>
              <w:t>10,300 shares</w:t>
            </w:r>
          </w:p>
        </w:tc>
        <w:tc>
          <w:tcPr>
            <w:tcW w:type="dxa" w:w="1440"/>
          </w:tcPr>
          <w:p>
            <w:r>
              <w:rPr>
                <w:rFonts w:ascii="Calibri" w:hAnsi="Calibri"/>
                <w:sz w:val="22"/>
              </w:rPr>
              <w:t>May 1, 2026</w:t>
            </w:r>
          </w:p>
        </w:tc>
        <w:tc>
          <w:tcPr>
            <w:tcW w:type="dxa" w:w="1440"/>
          </w:tcPr>
          <w:p>
            <w:r>
              <w:rPr>
                <w:rFonts w:ascii="Calibri" w:hAnsi="Calibri"/>
                <w:sz w:val="22"/>
              </w:rPr>
              <w:t>Discretionary open-market purchase; directionally positive signal from director</w:t>
            </w:r>
          </w:p>
        </w:tc>
      </w:tr>
      <w:tr>
        <w:tc>
          <w:tcPr>
            <w:tcW w:type="dxa" w:w="1440"/>
          </w:tcPr>
          <w:p>
            <w:r>
              <w:rPr>
                <w:rFonts w:ascii="Calibri" w:hAnsi="Calibri"/>
                <w:sz w:val="22"/>
              </w:rPr>
              <w:t>Clark, R. Kerry</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2,517 shares</w:t>
            </w:r>
          </w:p>
        </w:tc>
        <w:tc>
          <w:tcPr>
            <w:tcW w:type="dxa" w:w="1440"/>
          </w:tcPr>
          <w:p>
            <w:r>
              <w:rPr>
                <w:rFonts w:ascii="Calibri" w:hAnsi="Calibri"/>
                <w:sz w:val="22"/>
              </w:rPr>
              <w:t>May 6, 2026</w:t>
            </w:r>
          </w:p>
        </w:tc>
        <w:tc>
          <w:tcPr>
            <w:tcW w:type="dxa" w:w="1440"/>
          </w:tcPr>
          <w:p>
            <w:r>
              <w:rPr>
                <w:rFonts w:ascii="Calibri" w:hAnsi="Calibri"/>
                <w:sz w:val="22"/>
              </w:rPr>
              <w:t>Discretionary sale; small size relative to 8,611 shares held post-transaction; not flagged as 10b5-1</w:t>
            </w:r>
          </w:p>
        </w:tc>
      </w:tr>
      <w:tr>
        <w:tc>
          <w:tcPr>
            <w:tcW w:type="dxa" w:w="1440"/>
          </w:tcPr>
          <w:p>
            <w:r>
              <w:rPr>
                <w:rFonts w:ascii="Calibri" w:hAnsi="Calibri"/>
                <w:sz w:val="22"/>
              </w:rPr>
              <w:t>Ambrose, Richard F.</w:t>
            </w:r>
          </w:p>
        </w:tc>
        <w:tc>
          <w:tcPr>
            <w:tcW w:type="dxa" w:w="1440"/>
          </w:tcPr>
          <w:p>
            <w:r>
              <w:rPr>
                <w:rFonts w:ascii="Calibri" w:hAnsi="Calibri"/>
                <w:sz w:val="22"/>
              </w:rPr>
              <w:t>Director</w:t>
            </w:r>
          </w:p>
        </w:tc>
        <w:tc>
          <w:tcPr>
            <w:tcW w:type="dxa" w:w="1440"/>
          </w:tcPr>
          <w:p>
            <w:r>
              <w:rPr>
                <w:rFonts w:ascii="Calibri" w:hAnsi="Calibri"/>
                <w:sz w:val="22"/>
              </w:rPr>
              <w:t>Annual Equity Grant (Code A)</w:t>
            </w:r>
          </w:p>
        </w:tc>
        <w:tc>
          <w:tcPr>
            <w:tcW w:type="dxa" w:w="1440"/>
          </w:tcPr>
          <w:p>
            <w:r>
              <w:rPr>
                <w:rFonts w:ascii="Calibri" w:hAnsi="Calibri"/>
                <w:sz w:val="22"/>
              </w:rPr>
              <w:t>2,061 shares</w:t>
            </w:r>
          </w:p>
        </w:tc>
        <w:tc>
          <w:tcPr>
            <w:tcW w:type="dxa" w:w="1440"/>
          </w:tcPr>
          <w:p>
            <w:r>
              <w:rPr>
                <w:rFonts w:ascii="Calibri" w:hAnsi="Calibri"/>
                <w:sz w:val="22"/>
              </w:rPr>
              <w:t>Apr 29, 2026</w:t>
            </w:r>
          </w:p>
        </w:tc>
        <w:tc>
          <w:tcPr>
            <w:tcW w:type="dxa" w:w="1440"/>
          </w:tcPr>
          <w:p>
            <w:r>
              <w:rPr>
                <w:rFonts w:ascii="Calibri" w:hAnsi="Calibri"/>
                <w:sz w:val="22"/>
              </w:rPr>
              <w:t>Routine annual director equity award; not an open-market transaction</w:t>
            </w:r>
          </w:p>
        </w:tc>
      </w:tr>
      <w:tr>
        <w:tc>
          <w:tcPr>
            <w:tcW w:type="dxa" w:w="1440"/>
          </w:tcPr>
          <w:p>
            <w:r>
              <w:rPr>
                <w:rFonts w:ascii="Calibri" w:hAnsi="Calibri"/>
                <w:sz w:val="22"/>
              </w:rPr>
              <w:t>Clark, R. Kerry</w:t>
            </w:r>
          </w:p>
        </w:tc>
        <w:tc>
          <w:tcPr>
            <w:tcW w:type="dxa" w:w="1440"/>
          </w:tcPr>
          <w:p>
            <w:r>
              <w:rPr>
                <w:rFonts w:ascii="Calibri" w:hAnsi="Calibri"/>
                <w:sz w:val="22"/>
              </w:rPr>
              <w:t>Director</w:t>
            </w:r>
          </w:p>
        </w:tc>
        <w:tc>
          <w:tcPr>
            <w:tcW w:type="dxa" w:w="1440"/>
          </w:tcPr>
          <w:p>
            <w:r>
              <w:rPr>
                <w:rFonts w:ascii="Calibri" w:hAnsi="Calibri"/>
                <w:sz w:val="22"/>
              </w:rPr>
              <w:t>Annual Equity Grant (Code A)</w:t>
            </w:r>
          </w:p>
        </w:tc>
        <w:tc>
          <w:tcPr>
            <w:tcW w:type="dxa" w:w="1440"/>
          </w:tcPr>
          <w:p>
            <w:r>
              <w:rPr>
                <w:rFonts w:ascii="Calibri" w:hAnsi="Calibri"/>
                <w:sz w:val="22"/>
              </w:rPr>
              <w:t>2,061 shares</w:t>
            </w:r>
          </w:p>
        </w:tc>
        <w:tc>
          <w:tcPr>
            <w:tcW w:type="dxa" w:w="1440"/>
          </w:tcPr>
          <w:p>
            <w:r>
              <w:rPr>
                <w:rFonts w:ascii="Calibri" w:hAnsi="Calibri"/>
                <w:sz w:val="22"/>
              </w:rPr>
              <w:t>Apr 29, 2026</w:t>
            </w:r>
          </w:p>
        </w:tc>
        <w:tc>
          <w:tcPr>
            <w:tcW w:type="dxa" w:w="1440"/>
          </w:tcPr>
          <w:p>
            <w:r>
              <w:rPr>
                <w:rFonts w:ascii="Calibri" w:hAnsi="Calibri"/>
                <w:sz w:val="22"/>
              </w:rPr>
              <w:t>Routine annual director equity award; not an open-market transaction</w:t>
            </w:r>
          </w:p>
        </w:tc>
      </w:tr>
      <w:tr>
        <w:tc>
          <w:tcPr>
            <w:tcW w:type="dxa" w:w="1440"/>
          </w:tcPr>
          <w:p>
            <w:r>
              <w:rPr>
                <w:rFonts w:ascii="Calibri" w:hAnsi="Calibri"/>
                <w:sz w:val="22"/>
              </w:rPr>
              <w:t>Garrett, Michael X.</w:t>
            </w:r>
          </w:p>
        </w:tc>
        <w:tc>
          <w:tcPr>
            <w:tcW w:type="dxa" w:w="1440"/>
          </w:tcPr>
          <w:p>
            <w:r>
              <w:rPr>
                <w:rFonts w:ascii="Calibri" w:hAnsi="Calibri"/>
                <w:sz w:val="22"/>
              </w:rPr>
              <w:t>Director</w:t>
            </w:r>
          </w:p>
        </w:tc>
        <w:tc>
          <w:tcPr>
            <w:tcW w:type="dxa" w:w="1440"/>
          </w:tcPr>
          <w:p>
            <w:r>
              <w:rPr>
                <w:rFonts w:ascii="Calibri" w:hAnsi="Calibri"/>
                <w:sz w:val="22"/>
              </w:rPr>
              <w:t>Annual Equity Grant (Code A)</w:t>
            </w:r>
          </w:p>
        </w:tc>
        <w:tc>
          <w:tcPr>
            <w:tcW w:type="dxa" w:w="1440"/>
          </w:tcPr>
          <w:p>
            <w:r>
              <w:rPr>
                <w:rFonts w:ascii="Calibri" w:hAnsi="Calibri"/>
                <w:sz w:val="22"/>
              </w:rPr>
              <w:t>2,061 shares</w:t>
            </w:r>
          </w:p>
        </w:tc>
        <w:tc>
          <w:tcPr>
            <w:tcW w:type="dxa" w:w="1440"/>
          </w:tcPr>
          <w:p>
            <w:r>
              <w:rPr>
                <w:rFonts w:ascii="Calibri" w:hAnsi="Calibri"/>
                <w:sz w:val="22"/>
              </w:rPr>
              <w:t>Apr 29, 2026</w:t>
            </w:r>
          </w:p>
        </w:tc>
        <w:tc>
          <w:tcPr>
            <w:tcW w:type="dxa" w:w="1440"/>
          </w:tcPr>
          <w:p>
            <w:r>
              <w:rPr>
                <w:rFonts w:ascii="Calibri" w:hAnsi="Calibri"/>
                <w:sz w:val="22"/>
              </w:rPr>
              <w:t>Routine annual director equity award; not an open-market transaction</w:t>
            </w:r>
          </w:p>
        </w:tc>
      </w:tr>
      <w:tr>
        <w:tc>
          <w:tcPr>
            <w:tcW w:type="dxa" w:w="1440"/>
          </w:tcPr>
          <w:p>
            <w:r>
              <w:rPr>
                <w:rFonts w:ascii="Calibri" w:hAnsi="Calibri"/>
                <w:sz w:val="22"/>
              </w:rPr>
              <w:t>James, Deborah L.</w:t>
            </w:r>
          </w:p>
        </w:tc>
        <w:tc>
          <w:tcPr>
            <w:tcW w:type="dxa" w:w="1440"/>
          </w:tcPr>
          <w:p>
            <w:r>
              <w:rPr>
                <w:rFonts w:ascii="Calibri" w:hAnsi="Calibri"/>
                <w:sz w:val="22"/>
              </w:rPr>
              <w:t>Director</w:t>
            </w:r>
          </w:p>
        </w:tc>
        <w:tc>
          <w:tcPr>
            <w:tcW w:type="dxa" w:w="1440"/>
          </w:tcPr>
          <w:p>
            <w:r>
              <w:rPr>
                <w:rFonts w:ascii="Calibri" w:hAnsi="Calibri"/>
                <w:sz w:val="22"/>
              </w:rPr>
              <w:t>Annual Equity Grant (Code A)</w:t>
            </w:r>
          </w:p>
        </w:tc>
        <w:tc>
          <w:tcPr>
            <w:tcW w:type="dxa" w:w="1440"/>
          </w:tcPr>
          <w:p>
            <w:r>
              <w:rPr>
                <w:rFonts w:ascii="Calibri" w:hAnsi="Calibri"/>
                <w:sz w:val="22"/>
              </w:rPr>
              <w:t>2,061 shares</w:t>
            </w:r>
          </w:p>
        </w:tc>
        <w:tc>
          <w:tcPr>
            <w:tcW w:type="dxa" w:w="1440"/>
          </w:tcPr>
          <w:p>
            <w:r>
              <w:rPr>
                <w:rFonts w:ascii="Calibri" w:hAnsi="Calibri"/>
                <w:sz w:val="22"/>
              </w:rPr>
              <w:t>Apr 29, 2026</w:t>
            </w:r>
          </w:p>
        </w:tc>
        <w:tc>
          <w:tcPr>
            <w:tcW w:type="dxa" w:w="1440"/>
          </w:tcPr>
          <w:p>
            <w:r>
              <w:rPr>
                <w:rFonts w:ascii="Calibri" w:hAnsi="Calibri"/>
                <w:sz w:val="22"/>
              </w:rPr>
              <w:t>Routine annual director equity award; not an open-market transaction</w:t>
            </w:r>
          </w:p>
        </w:tc>
      </w:tr>
      <w:tr>
        <w:tc>
          <w:tcPr>
            <w:tcW w:type="dxa" w:w="1440"/>
          </w:tcPr>
          <w:p>
            <w:r>
              <w:rPr>
                <w:rFonts w:ascii="Calibri" w:hAnsi="Calibri"/>
                <w:sz w:val="22"/>
              </w:rPr>
              <w:t>Kennedy, Thomas A.</w:t>
            </w:r>
          </w:p>
        </w:tc>
        <w:tc>
          <w:tcPr>
            <w:tcW w:type="dxa" w:w="1440"/>
          </w:tcPr>
          <w:p>
            <w:r>
              <w:rPr>
                <w:rFonts w:ascii="Calibri" w:hAnsi="Calibri"/>
                <w:sz w:val="22"/>
              </w:rPr>
              <w:t>Director</w:t>
            </w:r>
          </w:p>
        </w:tc>
        <w:tc>
          <w:tcPr>
            <w:tcW w:type="dxa" w:w="1440"/>
          </w:tcPr>
          <w:p>
            <w:r>
              <w:rPr>
                <w:rFonts w:ascii="Calibri" w:hAnsi="Calibri"/>
                <w:sz w:val="22"/>
              </w:rPr>
              <w:t>Annual Equity Grant (Code A)</w:t>
            </w:r>
          </w:p>
        </w:tc>
        <w:tc>
          <w:tcPr>
            <w:tcW w:type="dxa" w:w="1440"/>
          </w:tcPr>
          <w:p>
            <w:r>
              <w:rPr>
                <w:rFonts w:ascii="Calibri" w:hAnsi="Calibri"/>
                <w:sz w:val="22"/>
              </w:rPr>
              <w:t>2,061 shares</w:t>
            </w:r>
          </w:p>
        </w:tc>
        <w:tc>
          <w:tcPr>
            <w:tcW w:type="dxa" w:w="1440"/>
          </w:tcPr>
          <w:p>
            <w:r>
              <w:rPr>
                <w:rFonts w:ascii="Calibri" w:hAnsi="Calibri"/>
                <w:sz w:val="22"/>
              </w:rPr>
              <w:t>Apr 29, 2026</w:t>
            </w:r>
          </w:p>
        </w:tc>
        <w:tc>
          <w:tcPr>
            <w:tcW w:type="dxa" w:w="1440"/>
          </w:tcPr>
          <w:p>
            <w:r>
              <w:rPr>
                <w:rFonts w:ascii="Calibri" w:hAnsi="Calibri"/>
                <w:sz w:val="22"/>
              </w:rPr>
              <w:t>Routine annual director equity award; not an open-market transaction</w:t>
            </w:r>
          </w:p>
        </w:tc>
      </w:tr>
      <w:tr>
        <w:tc>
          <w:tcPr>
            <w:tcW w:type="dxa" w:w="1440"/>
          </w:tcPr>
          <w:p>
            <w:r>
              <w:rPr>
                <w:rFonts w:ascii="Calibri" w:hAnsi="Calibri"/>
                <w:sz w:val="22"/>
              </w:rPr>
              <w:t>Mendez Echevarria, Maria Cristina</w:t>
            </w:r>
          </w:p>
        </w:tc>
        <w:tc>
          <w:tcPr>
            <w:tcW w:type="dxa" w:w="1440"/>
          </w:tcPr>
          <w:p>
            <w:r>
              <w:rPr>
                <w:rFonts w:ascii="Calibri" w:hAnsi="Calibri"/>
                <w:sz w:val="22"/>
              </w:rPr>
              <w:t>Director</w:t>
            </w:r>
          </w:p>
        </w:tc>
        <w:tc>
          <w:tcPr>
            <w:tcW w:type="dxa" w:w="1440"/>
          </w:tcPr>
          <w:p>
            <w:r>
              <w:rPr>
                <w:rFonts w:ascii="Calibri" w:hAnsi="Calibri"/>
                <w:sz w:val="22"/>
              </w:rPr>
              <w:t>Annual Equity Grant (Code A)</w:t>
            </w:r>
          </w:p>
        </w:tc>
        <w:tc>
          <w:tcPr>
            <w:tcW w:type="dxa" w:w="1440"/>
          </w:tcPr>
          <w:p>
            <w:r>
              <w:rPr>
                <w:rFonts w:ascii="Calibri" w:hAnsi="Calibri"/>
                <w:sz w:val="22"/>
              </w:rPr>
              <w:t>2,061 shares</w:t>
            </w:r>
          </w:p>
        </w:tc>
        <w:tc>
          <w:tcPr>
            <w:tcW w:type="dxa" w:w="1440"/>
          </w:tcPr>
          <w:p>
            <w:r>
              <w:rPr>
                <w:rFonts w:ascii="Calibri" w:hAnsi="Calibri"/>
                <w:sz w:val="22"/>
              </w:rPr>
              <w:t>Apr 29, 2026</w:t>
            </w:r>
          </w:p>
        </w:tc>
        <w:tc>
          <w:tcPr>
            <w:tcW w:type="dxa" w:w="1440"/>
          </w:tcPr>
          <w:p>
            <w:r>
              <w:rPr>
                <w:rFonts w:ascii="Calibri" w:hAnsi="Calibri"/>
                <w:sz w:val="22"/>
              </w:rPr>
              <w:t>Routine annual director equity award; not an open-market transaction</w:t>
            </w:r>
          </w:p>
        </w:tc>
      </w:tr>
      <w:tr>
        <w:tc>
          <w:tcPr>
            <w:tcW w:type="dxa" w:w="1440"/>
          </w:tcPr>
          <w:p>
            <w:r>
              <w:rPr>
                <w:rFonts w:ascii="Calibri" w:hAnsi="Calibri"/>
                <w:sz w:val="22"/>
              </w:rPr>
              <w:t>Mionis, Robert</w:t>
            </w:r>
          </w:p>
        </w:tc>
        <w:tc>
          <w:tcPr>
            <w:tcW w:type="dxa" w:w="1440"/>
          </w:tcPr>
          <w:p>
            <w:r>
              <w:rPr>
                <w:rFonts w:ascii="Calibri" w:hAnsi="Calibri"/>
                <w:sz w:val="22"/>
              </w:rPr>
              <w:t>Director</w:t>
            </w:r>
          </w:p>
        </w:tc>
        <w:tc>
          <w:tcPr>
            <w:tcW w:type="dxa" w:w="1440"/>
          </w:tcPr>
          <w:p>
            <w:r>
              <w:rPr>
                <w:rFonts w:ascii="Calibri" w:hAnsi="Calibri"/>
                <w:sz w:val="22"/>
              </w:rPr>
              <w:t>Annual Equity Grant (Code A)</w:t>
            </w:r>
          </w:p>
        </w:tc>
        <w:tc>
          <w:tcPr>
            <w:tcW w:type="dxa" w:w="1440"/>
          </w:tcPr>
          <w:p>
            <w:r>
              <w:rPr>
                <w:rFonts w:ascii="Calibri" w:hAnsi="Calibri"/>
                <w:sz w:val="22"/>
              </w:rPr>
              <w:t>2,061 shares</w:t>
            </w:r>
          </w:p>
        </w:tc>
        <w:tc>
          <w:tcPr>
            <w:tcW w:type="dxa" w:w="1440"/>
          </w:tcPr>
          <w:p>
            <w:r>
              <w:rPr>
                <w:rFonts w:ascii="Calibri" w:hAnsi="Calibri"/>
                <w:sz w:val="22"/>
              </w:rPr>
              <w:t>Apr 29, 2026</w:t>
            </w:r>
          </w:p>
        </w:tc>
        <w:tc>
          <w:tcPr>
            <w:tcW w:type="dxa" w:w="1440"/>
          </w:tcPr>
          <w:p>
            <w:r>
              <w:rPr>
                <w:rFonts w:ascii="Calibri" w:hAnsi="Calibri"/>
                <w:sz w:val="22"/>
              </w:rPr>
              <w:t>Routine annual director equity award; not an open-market transaction</w:t>
            </w:r>
          </w:p>
        </w:tc>
      </w:tr>
      <w:tr>
        <w:tc>
          <w:tcPr>
            <w:tcW w:type="dxa" w:w="1440"/>
          </w:tcPr>
          <w:p>
            <w:r>
              <w:rPr>
                <w:rFonts w:ascii="Calibri" w:hAnsi="Calibri"/>
                <w:sz w:val="22"/>
              </w:rPr>
              <w:t>Nowell, Lionel L. III</w:t>
            </w:r>
          </w:p>
        </w:tc>
        <w:tc>
          <w:tcPr>
            <w:tcW w:type="dxa" w:w="1440"/>
          </w:tcPr>
          <w:p>
            <w:r>
              <w:rPr>
                <w:rFonts w:ascii="Calibri" w:hAnsi="Calibri"/>
                <w:sz w:val="22"/>
              </w:rPr>
              <w:t>Director</w:t>
            </w:r>
          </w:p>
        </w:tc>
        <w:tc>
          <w:tcPr>
            <w:tcW w:type="dxa" w:w="1440"/>
          </w:tcPr>
          <w:p>
            <w:r>
              <w:rPr>
                <w:rFonts w:ascii="Calibri" w:hAnsi="Calibri"/>
                <w:sz w:val="22"/>
              </w:rPr>
              <w:t>Annual Equity Grant (Code A)</w:t>
            </w:r>
          </w:p>
        </w:tc>
        <w:tc>
          <w:tcPr>
            <w:tcW w:type="dxa" w:w="1440"/>
          </w:tcPr>
          <w:p>
            <w:r>
              <w:rPr>
                <w:rFonts w:ascii="Calibri" w:hAnsi="Calibri"/>
                <w:sz w:val="22"/>
              </w:rPr>
              <w:t>2,061 shares</w:t>
            </w:r>
          </w:p>
        </w:tc>
        <w:tc>
          <w:tcPr>
            <w:tcW w:type="dxa" w:w="1440"/>
          </w:tcPr>
          <w:p>
            <w:r>
              <w:rPr>
                <w:rFonts w:ascii="Calibri" w:hAnsi="Calibri"/>
                <w:sz w:val="22"/>
              </w:rPr>
              <w:t>Apr 29, 2026</w:t>
            </w:r>
          </w:p>
        </w:tc>
        <w:tc>
          <w:tcPr>
            <w:tcW w:type="dxa" w:w="1440"/>
          </w:tcPr>
          <w:p>
            <w:r>
              <w:rPr>
                <w:rFonts w:ascii="Calibri" w:hAnsi="Calibri"/>
                <w:sz w:val="22"/>
              </w:rPr>
              <w:t>Routine annual director equity award; not an open-market transaction</w:t>
            </w:r>
          </w:p>
        </w:tc>
      </w:tr>
      <w:tr>
        <w:tc>
          <w:tcPr>
            <w:tcW w:type="dxa" w:w="1440"/>
          </w:tcPr>
          <w:p>
            <w:r>
              <w:rPr>
                <w:rFonts w:ascii="Calibri" w:hAnsi="Calibri"/>
                <w:sz w:val="22"/>
              </w:rPr>
              <w:t>Zuber, Maria T.</w:t>
            </w:r>
          </w:p>
        </w:tc>
        <w:tc>
          <w:tcPr>
            <w:tcW w:type="dxa" w:w="1440"/>
          </w:tcPr>
          <w:p>
            <w:r>
              <w:rPr>
                <w:rFonts w:ascii="Calibri" w:hAnsi="Calibri"/>
                <w:sz w:val="22"/>
              </w:rPr>
              <w:t>Director</w:t>
            </w:r>
          </w:p>
        </w:tc>
        <w:tc>
          <w:tcPr>
            <w:tcW w:type="dxa" w:w="1440"/>
          </w:tcPr>
          <w:p>
            <w:r>
              <w:rPr>
                <w:rFonts w:ascii="Calibri" w:hAnsi="Calibri"/>
                <w:sz w:val="22"/>
              </w:rPr>
              <w:t>Annual Equity Grant (Code A)</w:t>
            </w:r>
          </w:p>
        </w:tc>
        <w:tc>
          <w:tcPr>
            <w:tcW w:type="dxa" w:w="1440"/>
          </w:tcPr>
          <w:p>
            <w:r>
              <w:rPr>
                <w:rFonts w:ascii="Calibri" w:hAnsi="Calibri"/>
                <w:sz w:val="22"/>
              </w:rPr>
              <w:t>2,061 shares</w:t>
            </w:r>
          </w:p>
        </w:tc>
        <w:tc>
          <w:tcPr>
            <w:tcW w:type="dxa" w:w="1440"/>
          </w:tcPr>
          <w:p>
            <w:r>
              <w:rPr>
                <w:rFonts w:ascii="Calibri" w:hAnsi="Calibri"/>
                <w:sz w:val="22"/>
              </w:rPr>
              <w:t>Apr 29, 2026</w:t>
            </w:r>
          </w:p>
        </w:tc>
        <w:tc>
          <w:tcPr>
            <w:tcW w:type="dxa" w:w="1440"/>
          </w:tcPr>
          <w:p>
            <w:r>
              <w:rPr>
                <w:rFonts w:ascii="Calibri" w:hAnsi="Calibri"/>
                <w:sz w:val="22"/>
              </w:rPr>
              <w:t>Routine annual director equity award; not an open-market transaction</w:t>
            </w:r>
          </w:p>
        </w:tc>
      </w:tr>
    </w:tbl>
    <w:p>
      <w:r>
        <w:rPr>
          <w:rFonts w:ascii="Calibri" w:hAnsi="Calibri"/>
          <w:b/>
          <w:color w:val="525866"/>
          <w:sz w:val="22"/>
        </w:rPr>
        <w:t xml:space="preserve">Notable: </w:t>
      </w:r>
      <w:r>
        <w:rPr>
          <w:rFonts w:ascii="Calibri" w:hAnsi="Calibri"/>
          <w:color w:val="525866"/>
          <w:sz w:val="22"/>
        </w:rPr>
        <w:t>Director Thomas A. Kennedy (former Raytheon CEO) made a discretionary open-market purchase of 10,300 shares on May 1, 2026 — the only non-routine transaction in the period. This is a modestly positive signal, particularly given Kennedy's deep defense industry background. The small discretionary sale by Director Clark (2,517 shares on May 6) is not concerning given the small size relative to his remaining holdings (8,611 shares). No executive officer (CEO, CFO, or segment presidents) filed any Form 4 transactions in the period, which is neutral.</w:t>
      </w:r>
    </w:p>
    <w:p>
      <w:r>
        <w:rPr>
          <w:rFonts w:ascii="Calibri" w:hAnsi="Calibri"/>
          <w:i/>
          <w:color w:val="525866"/>
          <w:sz w:val="22"/>
        </w:rPr>
        <w:t>Source: Insider Transaction Data (SEC Form 4 filings). Period covered: April 29, 2026 – July 27,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