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Textron Inc. (TXT)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Textron Inc. (TXT)</w:t>
            </w:r>
          </w:p>
        </w:tc>
      </w:tr>
      <w:tr>
        <w:tc>
          <w:tcPr>
            <w:tcW w:type="dxa" w:w="4320"/>
          </w:tcPr>
          <w:p>
            <w:r>
              <w:rPr>
                <w:rFonts w:ascii="Calibri" w:hAnsi="Calibri"/>
                <w:b/>
                <w:sz w:val="22"/>
              </w:rPr>
              <w:t>Earnings Date</w:t>
            </w:r>
          </w:p>
        </w:tc>
        <w:tc>
          <w:tcPr>
            <w:tcW w:type="dxa" w:w="4320"/>
          </w:tcPr>
          <w:p>
            <w:r>
              <w:rPr>
                <w:rFonts w:ascii="Calibri" w:hAnsi="Calibri"/>
                <w:sz w:val="22"/>
              </w:rPr>
              <w:t>July 28, 2026 — Pre-Market (8:00 AM ET Call)</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Prepared</w:t>
            </w:r>
          </w:p>
        </w:tc>
        <w:tc>
          <w:tcPr>
            <w:tcW w:type="dxa" w:w="4320"/>
          </w:tcPr>
          <w:p>
            <w:r>
              <w:rPr>
                <w:rFonts w:ascii="Calibri" w:hAnsi="Calibri"/>
                <w:sz w:val="22"/>
              </w:rPr>
              <w:t>July 27, 2026</w:t>
            </w:r>
          </w:p>
        </w:tc>
      </w:tr>
      <w:tr>
        <w:tc>
          <w:tcPr>
            <w:tcW w:type="dxa" w:w="4320"/>
          </w:tcPr>
          <w:p>
            <w:r>
              <w:rPr>
                <w:rFonts w:ascii="Calibri" w:hAnsi="Calibri"/>
                <w:b/>
                <w:sz w:val="22"/>
              </w:rPr>
              <w:t>Sector ETF Benchmark</w:t>
            </w:r>
          </w:p>
        </w:tc>
        <w:tc>
          <w:tcPr>
            <w:tcW w:type="dxa" w:w="4320"/>
          </w:tcPr>
          <w:p>
            <w:r>
              <w:rPr>
                <w:rFonts w:ascii="Calibri" w:hAnsi="Calibri"/>
                <w:sz w:val="22"/>
              </w:rPr>
              <w:t>XLI (Industrial Select Sector SPDR)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on EPS and Aviation deliveries, but the single biggest swing factor is whether Bell’s commercial volume recovery materializes as guided and whether the Army has secured supplemental GFY26 funding for the MV-75 Cheyenne program.</w:t>
      </w:r>
    </w:p>
    <w:p>
      <w:r>
        <w:rPr>
          <w:rFonts w:ascii="Calibri" w:hAnsi="Calibri"/>
          <w:color w:val="525866"/>
          <w:sz w:val="22"/>
        </w:rPr>
        <w:t xml:space="preserve">Heading into Q2 2026, the bar for Textron is achievable but not low: consensus sits at roughly </w:t>
      </w:r>
      <w:r>
        <w:rPr>
          <w:rFonts w:ascii="Calibri" w:hAnsi="Calibri"/>
          <w:b/>
          <w:color w:val="525866"/>
          <w:sz w:val="22"/>
        </w:rPr>
        <w:t>$1.55 adjusted EPS</w:t>
      </w:r>
      <w:r>
        <w:rPr>
          <w:rFonts w:ascii="Calibri" w:hAnsi="Calibri"/>
          <w:color w:val="525866"/>
          <w:sz w:val="22"/>
        </w:rPr>
        <w:t xml:space="preserve"> and </w:t>
      </w:r>
      <w:r>
        <w:rPr>
          <w:rFonts w:ascii="Calibri" w:hAnsi="Calibri"/>
          <w:b/>
          <w:color w:val="525866"/>
          <w:sz w:val="22"/>
        </w:rPr>
        <w:t>$3.81 billion in revenue</w:t>
      </w:r>
      <w:r>
        <w:rPr>
          <w:rFonts w:ascii="Calibri" w:hAnsi="Calibri"/>
          <w:color w:val="525866"/>
          <w:sz w:val="22"/>
        </w:rPr>
        <w:t xml:space="preserve">, both representing meaningful year-over-year growth off a solid Q2 2025 base. Management’s posture on the Q1 call was constructive but measured — they explicitly guided for sequential improvement in Aviation deliveries and margins each quarter, with the margin peak in Q4, and flagged that Bell commercial volume would normalize throughout the year in a pattern similar to prior years. Estimate revisions have drifted modestly lower since the Q1 print (consensus EPS for Q2 2026 has slipped from ~$1.54 at the post-Q1 baseline to ~$1.55 currently, essentially flat), suggesting the Street has largely digested the guidance and is not pricing in a meaningful beat or miss. The stock has underperformed XLI since the April 30 earnings date — TXT is roughly flat to slightly higher while XLI has rallied — meaning the stock has not pre-run a beat, and the multiple at ~16x NTM P/E remains at a discount to pure-play defense peers, reflecting lingering execution risk around the MV-75 LRIP transition and Aviation margin recovery. The </w:t>
      </w:r>
      <w:r>
        <w:rPr>
          <w:rFonts w:ascii="Calibri" w:hAnsi="Calibri"/>
          <w:b/>
          <w:color w:val="525866"/>
          <w:sz w:val="22"/>
        </w:rPr>
        <w:t>key wildcard</w:t>
      </w:r>
      <w:r>
        <w:rPr>
          <w:rFonts w:ascii="Calibri" w:hAnsi="Calibri"/>
          <w:color w:val="525866"/>
          <w:sz w:val="22"/>
        </w:rPr>
        <w:t xml:space="preserve"> is the MV-75 GFY26 supplemental funding: management said on the Q1 call that the Army was “actively pursuing additional funding,” and any confirmation of those funds — or absence thereof — will be the dominant narrative on the July 28 call, with the potential to move Bell’s revenue and the stock meaningfully in either direction.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moderate bar — achievable if Aviation deliveries step up sequentially as guided and Bell commercial volume normalizes. Aviation segment margin is the bigger swing factor; Bell revenue is the wildcard tied to MV-75 funding.</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(Mgmt)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EPS (Diluted)</w:t>
            </w:r>
          </w:p>
        </w:tc>
        <w:tc>
          <w:tcPr>
            <w:tcW w:type="dxa" w:w="1234"/>
          </w:tcPr>
          <w:p>
            <w:r>
              <w:rPr>
                <w:rFonts w:ascii="Calibri" w:hAnsi="Calibri"/>
                <w:sz w:val="22"/>
              </w:rPr>
              <w:t>$1.45</w:t>
            </w:r>
          </w:p>
        </w:tc>
        <w:tc>
          <w:tcPr>
            <w:tcW w:type="dxa" w:w="1234"/>
          </w:tcPr>
          <w:p>
            <w:r>
              <w:rPr>
                <w:rFonts w:ascii="Calibri" w:hAnsi="Calibri"/>
                <w:sz w:val="22"/>
              </w:rPr>
              <w:t>$1.55</w:t>
            </w:r>
          </w:p>
        </w:tc>
        <w:tc>
          <w:tcPr>
            <w:tcW w:type="dxa" w:w="1234"/>
          </w:tcPr>
          <w:p>
            <w:r>
              <w:rPr>
                <w:rFonts w:ascii="Calibri" w:hAnsi="Calibri"/>
                <w:sz w:val="22"/>
              </w:rPr>
              <w:t>$1.55</w:t>
            </w:r>
          </w:p>
        </w:tc>
        <w:tc>
          <w:tcPr>
            <w:tcW w:type="dxa" w:w="1234"/>
          </w:tcPr>
          <w:p>
            <w:r>
              <w:rPr>
                <w:rFonts w:ascii="Calibri" w:hAnsi="Calibri"/>
                <w:sz w:val="22"/>
              </w:rPr>
              <w:t>0.0%</w:t>
            </w:r>
          </w:p>
        </w:tc>
        <w:tc>
          <w:tcPr>
            <w:tcW w:type="dxa" w:w="1234"/>
          </w:tcPr>
          <w:p>
            <w:r>
              <w:rPr>
                <w:rFonts w:ascii="Calibri" w:hAnsi="Calibri"/>
                <w:sz w:val="22"/>
              </w:rPr>
              <w:t>$6.40–$6.60</w:t>
            </w:r>
          </w:p>
        </w:tc>
        <w:tc>
          <w:tcPr>
            <w:tcW w:type="dxa" w:w="1234"/>
          </w:tcPr>
          <w:p>
            <w:r>
              <w:rPr>
                <w:rFonts w:ascii="Calibri" w:hAnsi="Calibri"/>
                <w:sz w:val="22"/>
              </w:rPr>
              <w:t>~−1% vs. midpoint ($6.50)</w:t>
            </w:r>
          </w:p>
        </w:tc>
      </w:tr>
      <w:tr>
        <w:tc>
          <w:tcPr>
            <w:tcW w:type="dxa" w:w="1234"/>
          </w:tcPr>
          <w:p>
            <w:r>
              <w:rPr>
                <w:rFonts w:ascii="Calibri" w:hAnsi="Calibri"/>
                <w:sz w:val="22"/>
              </w:rPr>
              <w:t>Total Revenue</w:t>
            </w:r>
          </w:p>
        </w:tc>
        <w:tc>
          <w:tcPr>
            <w:tcW w:type="dxa" w:w="1234"/>
          </w:tcPr>
          <w:p>
            <w:r>
              <w:rPr>
                <w:rFonts w:ascii="Calibri" w:hAnsi="Calibri"/>
                <w:sz w:val="22"/>
              </w:rPr>
              <w:t>$3,695M</w:t>
            </w:r>
          </w:p>
        </w:tc>
        <w:tc>
          <w:tcPr>
            <w:tcW w:type="dxa" w:w="1234"/>
          </w:tcPr>
          <w:p>
            <w:r>
              <w:rPr>
                <w:rFonts w:ascii="Calibri" w:hAnsi="Calibri"/>
                <w:sz w:val="22"/>
              </w:rPr>
              <w:t>$3,716M</w:t>
            </w:r>
          </w:p>
        </w:tc>
        <w:tc>
          <w:tcPr>
            <w:tcW w:type="dxa" w:w="1234"/>
          </w:tcPr>
          <w:p>
            <w:r>
              <w:rPr>
                <w:rFonts w:ascii="Calibri" w:hAnsi="Calibri"/>
                <w:sz w:val="22"/>
              </w:rPr>
              <w:t>$3,813M</w:t>
            </w:r>
          </w:p>
        </w:tc>
        <w:tc>
          <w:tcPr>
            <w:tcW w:type="dxa" w:w="1234"/>
          </w:tcPr>
          <w:p>
            <w:r>
              <w:rPr>
                <w:rFonts w:ascii="Calibri" w:hAnsi="Calibri"/>
                <w:sz w:val="22"/>
              </w:rPr>
              <w:t>+2.6%</w:t>
            </w:r>
          </w:p>
        </w:tc>
        <w:tc>
          <w:tcPr>
            <w:tcW w:type="dxa" w:w="1234"/>
          </w:tcPr>
          <w:p>
            <w:r>
              <w:rPr>
                <w:rFonts w:ascii="Calibri" w:hAnsi="Calibri"/>
                <w:sz w:val="22"/>
              </w:rPr>
              <w:t>N/A — no explicit quarterly guide</w:t>
            </w:r>
          </w:p>
        </w:tc>
        <w:tc>
          <w:tcPr>
            <w:tcW w:type="dxa" w:w="1234"/>
          </w:tcPr>
          <w:p>
            <w:r>
              <w:rPr>
                <w:rFonts w:ascii="Calibri" w:hAnsi="Calibri"/>
                <w:sz w:val="22"/>
              </w:rPr>
              <w:t>N/A</w:t>
            </w:r>
          </w:p>
        </w:tc>
      </w:tr>
      <w:tr>
        <w:tc>
          <w:tcPr>
            <w:tcW w:type="dxa" w:w="1234"/>
          </w:tcPr>
          <w:p>
            <w:r>
              <w:rPr>
                <w:rFonts w:ascii="Calibri" w:hAnsi="Calibri"/>
                <w:sz w:val="22"/>
              </w:rPr>
              <w:t>Textron Aviation Revenue</w:t>
            </w:r>
          </w:p>
        </w:tc>
        <w:tc>
          <w:tcPr>
            <w:tcW w:type="dxa" w:w="1234"/>
          </w:tcPr>
          <w:p>
            <w:r>
              <w:rPr>
                <w:rFonts w:ascii="Calibri" w:hAnsi="Calibri"/>
                <w:sz w:val="22"/>
              </w:rPr>
              <w:t>$1,485M</w:t>
            </w:r>
          </w:p>
        </w:tc>
        <w:tc>
          <w:tcPr>
            <w:tcW w:type="dxa" w:w="1234"/>
          </w:tcPr>
          <w:p>
            <w:r>
              <w:rPr>
                <w:rFonts w:ascii="Calibri" w:hAnsi="Calibri"/>
                <w:sz w:val="22"/>
              </w:rPr>
              <w:t>$1,522M</w:t>
            </w:r>
          </w:p>
        </w:tc>
        <w:tc>
          <w:tcPr>
            <w:tcW w:type="dxa" w:w="1234"/>
          </w:tcPr>
          <w:p>
            <w:r>
              <w:rPr>
                <w:rFonts w:ascii="Calibri" w:hAnsi="Calibri"/>
                <w:sz w:val="22"/>
              </w:rPr>
              <w:t>$1,585M</w:t>
            </w:r>
          </w:p>
        </w:tc>
        <w:tc>
          <w:tcPr>
            <w:tcW w:type="dxa" w:w="1234"/>
          </w:tcPr>
          <w:p>
            <w:r>
              <w:rPr>
                <w:rFonts w:ascii="Calibri" w:hAnsi="Calibri"/>
                <w:sz w:val="22"/>
              </w:rPr>
              <w:t>+4.1%</w:t>
            </w:r>
          </w:p>
        </w:tc>
        <w:tc>
          <w:tcPr>
            <w:tcW w:type="dxa" w:w="1234"/>
          </w:tcPr>
          <w:p>
            <w:r>
              <w:rPr>
                <w:rFonts w:ascii="Calibri" w:hAnsi="Calibri"/>
                <w:sz w:val="22"/>
              </w:rPr>
              <w:t>FY ~$6.50B (implied)</w:t>
            </w:r>
          </w:p>
        </w:tc>
        <w:tc>
          <w:tcPr>
            <w:tcW w:type="dxa" w:w="1234"/>
          </w:tcPr>
          <w:p>
            <w:r>
              <w:rPr>
                <w:rFonts w:ascii="Calibri" w:hAnsi="Calibri"/>
                <w:sz w:val="22"/>
              </w:rPr>
              <w:t>~−0.3% vs. FY midpoint run-rate</w:t>
            </w:r>
          </w:p>
        </w:tc>
      </w:tr>
      <w:tr>
        <w:tc>
          <w:tcPr>
            <w:tcW w:type="dxa" w:w="1234"/>
          </w:tcPr>
          <w:p>
            <w:r>
              <w:rPr>
                <w:rFonts w:ascii="Calibri" w:hAnsi="Calibri"/>
                <w:sz w:val="22"/>
              </w:rPr>
              <w:t>Textron Aviation Segment Profit</w:t>
            </w:r>
          </w:p>
        </w:tc>
        <w:tc>
          <w:tcPr>
            <w:tcW w:type="dxa" w:w="1234"/>
          </w:tcPr>
          <w:p>
            <w:r>
              <w:rPr>
                <w:rFonts w:ascii="Calibri" w:hAnsi="Calibri"/>
                <w:sz w:val="22"/>
              </w:rPr>
              <w:t>$154M (10.4% margin)</w:t>
            </w:r>
          </w:p>
        </w:tc>
        <w:tc>
          <w:tcPr>
            <w:tcW w:type="dxa" w:w="1234"/>
          </w:tcPr>
          <w:p>
            <w:r>
              <w:rPr>
                <w:rFonts w:ascii="Calibri" w:hAnsi="Calibri"/>
                <w:sz w:val="22"/>
              </w:rPr>
              <w:t>$170M (11.2% margin)</w:t>
            </w:r>
          </w:p>
        </w:tc>
        <w:tc>
          <w:tcPr>
            <w:tcW w:type="dxa" w:w="1234"/>
          </w:tcPr>
          <w:p>
            <w:r>
              <w:rPr>
                <w:rFonts w:ascii="Calibri" w:hAnsi="Calibri"/>
                <w:sz w:val="22"/>
              </w:rPr>
              <w:t>$180M (~11.4% margin)</w:t>
            </w:r>
          </w:p>
        </w:tc>
        <w:tc>
          <w:tcPr>
            <w:tcW w:type="dxa" w:w="1234"/>
          </w:tcPr>
          <w:p>
            <w:r>
              <w:rPr>
                <w:rFonts w:ascii="Calibri" w:hAnsi="Calibri"/>
                <w:sz w:val="22"/>
              </w:rPr>
              <w:t>+5.9%</w:t>
            </w:r>
          </w:p>
        </w:tc>
        <w:tc>
          <w:tcPr>
            <w:tcW w:type="dxa" w:w="1234"/>
          </w:tcPr>
          <w:p>
            <w:r>
              <w:rPr>
                <w:rFonts w:ascii="Calibri" w:hAnsi="Calibri"/>
                <w:sz w:val="22"/>
              </w:rPr>
              <w:t>Sequential improvement each quarter; peak Q4</w:t>
            </w:r>
          </w:p>
        </w:tc>
        <w:tc>
          <w:tcPr>
            <w:tcW w:type="dxa" w:w="1234"/>
          </w:tcPr>
          <w:p>
            <w:r>
              <w:rPr>
                <w:rFonts w:ascii="Calibri" w:hAnsi="Calibri"/>
                <w:sz w:val="22"/>
              </w:rPr>
              <w:t>Tracking guidance trajectory</w:t>
            </w:r>
          </w:p>
        </w:tc>
      </w:tr>
      <w:tr>
        <w:tc>
          <w:tcPr>
            <w:tcW w:type="dxa" w:w="1234"/>
          </w:tcPr>
          <w:p>
            <w:r>
              <w:rPr>
                <w:rFonts w:ascii="Calibri" w:hAnsi="Calibri"/>
                <w:sz w:val="22"/>
              </w:rPr>
              <w:t>Bell Revenue</w:t>
            </w:r>
          </w:p>
        </w:tc>
        <w:tc>
          <w:tcPr>
            <w:tcW w:type="dxa" w:w="1234"/>
          </w:tcPr>
          <w:p>
            <w:r>
              <w:rPr>
                <w:rFonts w:ascii="Calibri" w:hAnsi="Calibri"/>
                <w:sz w:val="22"/>
              </w:rPr>
              <w:t>$1,070M</w:t>
            </w:r>
          </w:p>
        </w:tc>
        <w:tc>
          <w:tcPr>
            <w:tcW w:type="dxa" w:w="1234"/>
          </w:tcPr>
          <w:p>
            <w:r>
              <w:rPr>
                <w:rFonts w:ascii="Calibri" w:hAnsi="Calibri"/>
                <w:sz w:val="22"/>
              </w:rPr>
              <w:t>$1,016M</w:t>
            </w:r>
          </w:p>
        </w:tc>
        <w:tc>
          <w:tcPr>
            <w:tcW w:type="dxa" w:w="1234"/>
          </w:tcPr>
          <w:p>
            <w:r>
              <w:rPr>
                <w:rFonts w:ascii="Calibri" w:hAnsi="Calibri"/>
                <w:sz w:val="22"/>
              </w:rPr>
              <w:t>$1,040M</w:t>
            </w:r>
          </w:p>
        </w:tc>
        <w:tc>
          <w:tcPr>
            <w:tcW w:type="dxa" w:w="1234"/>
          </w:tcPr>
          <w:p>
            <w:r>
              <w:rPr>
                <w:rFonts w:ascii="Calibri" w:hAnsi="Calibri"/>
                <w:sz w:val="22"/>
              </w:rPr>
              <w:t>+2.4%</w:t>
            </w:r>
          </w:p>
        </w:tc>
        <w:tc>
          <w:tcPr>
            <w:tcW w:type="dxa" w:w="1234"/>
          </w:tcPr>
          <w:p>
            <w:r>
              <w:rPr>
                <w:rFonts w:ascii="Calibri" w:hAnsi="Calibri"/>
                <w:sz w:val="22"/>
              </w:rPr>
              <w:t>FY ~$4.44B (consensus)</w:t>
            </w:r>
          </w:p>
        </w:tc>
        <w:tc>
          <w:tcPr>
            <w:tcW w:type="dxa" w:w="1234"/>
          </w:tcPr>
          <w:p>
            <w:r>
              <w:rPr>
                <w:rFonts w:ascii="Calibri" w:hAnsi="Calibri"/>
                <w:sz w:val="22"/>
              </w:rPr>
              <w:t>N/A — no explicit quarterly guide</w:t>
            </w:r>
          </w:p>
        </w:tc>
      </w:tr>
      <w:tr>
        <w:tc>
          <w:tcPr>
            <w:tcW w:type="dxa" w:w="1234"/>
          </w:tcPr>
          <w:p>
            <w:r>
              <w:rPr>
                <w:rFonts w:ascii="Calibri" w:hAnsi="Calibri"/>
                <w:sz w:val="22"/>
              </w:rPr>
              <w:t>Bell Segment Profit</w:t>
            </w:r>
          </w:p>
        </w:tc>
        <w:tc>
          <w:tcPr>
            <w:tcW w:type="dxa" w:w="1234"/>
          </w:tcPr>
          <w:p>
            <w:r>
              <w:rPr>
                <w:rFonts w:ascii="Calibri" w:hAnsi="Calibri"/>
                <w:sz w:val="22"/>
              </w:rPr>
              <w:t>$72M (6.7% margin)</w:t>
            </w:r>
          </w:p>
        </w:tc>
        <w:tc>
          <w:tcPr>
            <w:tcW w:type="dxa" w:w="1234"/>
          </w:tcPr>
          <w:p>
            <w:r>
              <w:rPr>
                <w:rFonts w:ascii="Calibri" w:hAnsi="Calibri"/>
                <w:sz w:val="22"/>
              </w:rPr>
              <w:t>$80M (7.9% margin)</w:t>
            </w:r>
          </w:p>
        </w:tc>
        <w:tc>
          <w:tcPr>
            <w:tcW w:type="dxa" w:w="1234"/>
          </w:tcPr>
          <w:p>
            <w:r>
              <w:rPr>
                <w:rFonts w:ascii="Calibri" w:hAnsi="Calibri"/>
                <w:sz w:val="22"/>
              </w:rPr>
              <w:t>$82M (~7.9% margin)</w:t>
            </w:r>
          </w:p>
        </w:tc>
        <w:tc>
          <w:tcPr>
            <w:tcW w:type="dxa" w:w="1234"/>
          </w:tcPr>
          <w:p>
            <w:r>
              <w:rPr>
                <w:rFonts w:ascii="Calibri" w:hAnsi="Calibri"/>
                <w:sz w:val="22"/>
              </w:rPr>
              <w:t>+2.5%</w:t>
            </w:r>
          </w:p>
        </w:tc>
        <w:tc>
          <w:tcPr>
            <w:tcW w:type="dxa" w:w="1234"/>
          </w:tcPr>
          <w:p>
            <w:r>
              <w:rPr>
                <w:rFonts w:ascii="Calibri" w:hAnsi="Calibri"/>
                <w:sz w:val="22"/>
              </w:rPr>
              <w:t>FY 8%–9% margin</w:t>
            </w:r>
          </w:p>
        </w:tc>
        <w:tc>
          <w:tcPr>
            <w:tcW w:type="dxa" w:w="1234"/>
          </w:tcPr>
          <w:p>
            <w:r>
              <w:rPr>
                <w:rFonts w:ascii="Calibri" w:hAnsi="Calibri"/>
                <w:sz w:val="22"/>
              </w:rPr>
              <w:t>Tracking low end of guide</w:t>
            </w:r>
          </w:p>
        </w:tc>
      </w:tr>
      <w:tr>
        <w:tc>
          <w:tcPr>
            <w:tcW w:type="dxa" w:w="1234"/>
          </w:tcPr>
          <w:p>
            <w:r>
              <w:rPr>
                <w:rFonts w:ascii="Calibri" w:hAnsi="Calibri"/>
                <w:sz w:val="22"/>
              </w:rPr>
              <w:t>Total Backlog</w:t>
            </w:r>
          </w:p>
        </w:tc>
        <w:tc>
          <w:tcPr>
            <w:tcW w:type="dxa" w:w="1234"/>
          </w:tcPr>
          <w:p>
            <w:r>
              <w:rPr>
                <w:rFonts w:ascii="Calibri" w:hAnsi="Calibri"/>
                <w:sz w:val="22"/>
              </w:rPr>
              <w:t>$19,162M</w:t>
            </w:r>
          </w:p>
        </w:tc>
        <w:tc>
          <w:tcPr>
            <w:tcW w:type="dxa" w:w="1234"/>
          </w:tcPr>
          <w:p>
            <w:r>
              <w:rPr>
                <w:rFonts w:ascii="Calibri" w:hAnsi="Calibri"/>
                <w:sz w:val="22"/>
              </w:rPr>
              <w:t>$16,923M</w:t>
            </w:r>
          </w:p>
        </w:tc>
        <w:tc>
          <w:tcPr>
            <w:tcW w:type="dxa" w:w="1234"/>
          </w:tcPr>
          <w:p>
            <w:r>
              <w:rPr>
                <w:rFonts w:ascii="Calibri" w:hAnsi="Calibri"/>
                <w:sz w:val="22"/>
              </w:rPr>
              <w:t>$19,193M</w:t>
            </w:r>
          </w:p>
        </w:tc>
        <w:tc>
          <w:tcPr>
            <w:tcW w:type="dxa" w:w="1234"/>
          </w:tcPr>
          <w:p>
            <w:r>
              <w:rPr>
                <w:rFonts w:ascii="Calibri" w:hAnsi="Calibri"/>
                <w:sz w:val="22"/>
              </w:rPr>
              <w:t>+13.4%</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Manufacturing Free Cash Flow</w:t>
            </w:r>
          </w:p>
        </w:tc>
        <w:tc>
          <w:tcPr>
            <w:tcW w:type="dxa" w:w="1234"/>
          </w:tcPr>
          <w:p>
            <w:r>
              <w:rPr>
                <w:rFonts w:ascii="Calibri" w:hAnsi="Calibri"/>
                <w:sz w:val="22"/>
              </w:rPr>
              <w:t>–$240M (seasonal use)</w:t>
            </w:r>
          </w:p>
        </w:tc>
        <w:tc>
          <w:tcPr>
            <w:tcW w:type="dxa" w:w="1234"/>
          </w:tcPr>
          <w:p>
            <w:r>
              <w:rPr>
                <w:rFonts w:ascii="Calibri" w:hAnsi="Calibri"/>
                <w:sz w:val="22"/>
              </w:rPr>
              <w:t>$317M</w:t>
            </w:r>
          </w:p>
        </w:tc>
        <w:tc>
          <w:tcPr>
            <w:tcW w:type="dxa" w:w="1234"/>
          </w:tcPr>
          <w:p>
            <w:r>
              <w:rPr>
                <w:rFonts w:ascii="Calibri" w:hAnsi="Calibri"/>
                <w:sz w:val="22"/>
              </w:rPr>
              <w:t>$162M</w:t>
            </w:r>
          </w:p>
        </w:tc>
        <w:tc>
          <w:tcPr>
            <w:tcW w:type="dxa" w:w="1234"/>
          </w:tcPr>
          <w:p>
            <w:r>
              <w:rPr>
                <w:rFonts w:ascii="Calibri" w:hAnsi="Calibri"/>
                <w:sz w:val="22"/>
              </w:rPr>
              <w:t>−48.9%</w:t>
            </w:r>
          </w:p>
        </w:tc>
        <w:tc>
          <w:tcPr>
            <w:tcW w:type="dxa" w:w="1234"/>
          </w:tcPr>
          <w:p>
            <w:r>
              <w:rPr>
                <w:rFonts w:ascii="Calibri" w:hAnsi="Calibri"/>
                <w:sz w:val="22"/>
              </w:rPr>
              <w:t>FY $700M–$800M</w:t>
            </w:r>
          </w:p>
        </w:tc>
        <w:tc>
          <w:tcPr>
            <w:tcW w:type="dxa" w:w="1234"/>
          </w:tcPr>
          <w:p>
            <w:r>
              <w:rPr>
                <w:rFonts w:ascii="Calibri" w:hAnsi="Calibri"/>
                <w:sz w:val="22"/>
              </w:rPr>
              <w:t>FY consensus $670M vs. $750M midpoint (−11%)</w:t>
            </w:r>
          </w:p>
        </w:tc>
      </w:tr>
    </w:tbl>
    <w:p>
      <w:r>
        <w:rPr>
          <w:rFonts w:ascii="Calibri" w:hAnsi="Calibri"/>
          <w:i/>
          <w:color w:val="525866"/>
          <w:sz w:val="22"/>
        </w:rPr>
        <w:t>Source: Visible Alpha consensus and actuals data. All figures in USD millions unless noted. Adjusted EPS excludes LIFO inventory provision and intangible amortization per Textron’s non-GAAP definition. Q2 2026 consensus as of July 27, 2026.</w:t>
      </w:r>
    </w:p>
    <w:p>
      <w:pPr>
        <w:pStyle w:val="Heading3"/>
      </w:pPr>
      <w:r>
        <w:rPr>
          <w:rFonts w:ascii="Calibri" w:hAnsi="Calibri"/>
          <w:b/>
          <w:color w:val="3B4259"/>
          <w:sz w:val="24"/>
        </w:rPr>
        <w:t>Table 2 — Beat / Miss History (Last 8 Quarters, Top 2 KPIs)</w:t>
      </w:r>
    </w:p>
    <w:p>
      <w:r>
        <w:rPr>
          <w:rFonts w:ascii="Calibri" w:hAnsi="Calibri"/>
          <w:b/>
          <w:color w:val="525866"/>
          <w:sz w:val="22"/>
        </w:rPr>
        <w:t xml:space="preserve">Top 2 KPIs: </w:t>
      </w:r>
      <w:r>
        <w:rPr>
          <w:rFonts w:ascii="Calibri" w:hAnsi="Calibri"/>
          <w:color w:val="525866"/>
          <w:sz w:val="22"/>
        </w:rPr>
        <w:t>Adjusted EPS (Diluted) and Textron Aviation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 Est.</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$1.45</w:t>
            </w:r>
          </w:p>
        </w:tc>
        <w:tc>
          <w:tcPr>
            <w:tcW w:type="dxa" w:w="1440"/>
          </w:tcPr>
          <w:p>
            <w:r>
              <w:rPr>
                <w:rFonts w:ascii="Calibri" w:hAnsi="Calibri"/>
                <w:sz w:val="22"/>
              </w:rPr>
              <w:t>$1.30</w:t>
            </w:r>
          </w:p>
        </w:tc>
        <w:tc>
          <w:tcPr>
            <w:tcW w:type="dxa" w:w="1440"/>
          </w:tcPr>
          <w:p>
            <w:r>
              <w:rPr>
                <w:rFonts w:ascii="Calibri" w:hAnsi="Calibri"/>
                <w:b/>
                <w:color w:val="30A46C"/>
                <w:sz w:val="22"/>
              </w:rPr>
              <w:t>+11.5%</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Aviation Revenue</w:t>
            </w:r>
          </w:p>
        </w:tc>
        <w:tc>
          <w:tcPr>
            <w:tcW w:type="dxa" w:w="1440"/>
          </w:tcPr>
          <w:p>
            <w:r>
              <w:rPr>
                <w:rFonts w:ascii="Calibri" w:hAnsi="Calibri"/>
                <w:sz w:val="22"/>
              </w:rPr>
              <w:t>$1,485M</w:t>
            </w:r>
          </w:p>
        </w:tc>
        <w:tc>
          <w:tcPr>
            <w:tcW w:type="dxa" w:w="1440"/>
          </w:tcPr>
          <w:p>
            <w:r>
              <w:rPr>
                <w:rFonts w:ascii="Calibri" w:hAnsi="Calibri"/>
                <w:sz w:val="22"/>
              </w:rPr>
              <w:t>$1,357M</w:t>
            </w:r>
          </w:p>
        </w:tc>
        <w:tc>
          <w:tcPr>
            <w:tcW w:type="dxa" w:w="1440"/>
          </w:tcPr>
          <w:p>
            <w:r>
              <w:rPr>
                <w:rFonts w:ascii="Calibri" w:hAnsi="Calibri"/>
                <w:b/>
                <w:color w:val="30A46C"/>
                <w:sz w:val="22"/>
              </w:rPr>
              <w:t>+9.4%</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$1.73</w:t>
            </w:r>
          </w:p>
        </w:tc>
        <w:tc>
          <w:tcPr>
            <w:tcW w:type="dxa" w:w="1440"/>
          </w:tcPr>
          <w:p>
            <w:r>
              <w:rPr>
                <w:rFonts w:ascii="Calibri" w:hAnsi="Calibri"/>
                <w:sz w:val="22"/>
              </w:rPr>
              <w:t>$1.71</w:t>
            </w:r>
          </w:p>
        </w:tc>
        <w:tc>
          <w:tcPr>
            <w:tcW w:type="dxa" w:w="1440"/>
          </w:tcPr>
          <w:p>
            <w:r>
              <w:rPr>
                <w:rFonts w:ascii="Calibri" w:hAnsi="Calibri"/>
                <w:b/>
                <w:color w:val="30A46C"/>
                <w:sz w:val="22"/>
              </w:rPr>
              <w:t>+1.2%</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Aviation Revenue</w:t>
            </w:r>
          </w:p>
        </w:tc>
        <w:tc>
          <w:tcPr>
            <w:tcW w:type="dxa" w:w="1440"/>
          </w:tcPr>
          <w:p>
            <w:r>
              <w:rPr>
                <w:rFonts w:ascii="Calibri" w:hAnsi="Calibri"/>
                <w:sz w:val="22"/>
              </w:rPr>
              <w:t>$1,754M</w:t>
            </w:r>
          </w:p>
        </w:tc>
        <w:tc>
          <w:tcPr>
            <w:tcW w:type="dxa" w:w="1440"/>
          </w:tcPr>
          <w:p>
            <w:r>
              <w:rPr>
                <w:rFonts w:ascii="Calibri" w:hAnsi="Calibri"/>
                <w:sz w:val="22"/>
              </w:rPr>
              <w:t>$1,737M</w:t>
            </w:r>
          </w:p>
        </w:tc>
        <w:tc>
          <w:tcPr>
            <w:tcW w:type="dxa" w:w="1440"/>
          </w:tcPr>
          <w:p>
            <w:r>
              <w:rPr>
                <w:rFonts w:ascii="Calibri" w:hAnsi="Calibri"/>
                <w:b/>
                <w:color w:val="30A46C"/>
                <w:sz w:val="22"/>
              </w:rPr>
              <w:t>+1.0%</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$1.55</w:t>
            </w:r>
          </w:p>
        </w:tc>
        <w:tc>
          <w:tcPr>
            <w:tcW w:type="dxa" w:w="1440"/>
          </w:tcPr>
          <w:p>
            <w:r>
              <w:rPr>
                <w:rFonts w:ascii="Calibri" w:hAnsi="Calibri"/>
                <w:sz w:val="22"/>
              </w:rPr>
              <w:t>$1.44</w:t>
            </w:r>
          </w:p>
        </w:tc>
        <w:tc>
          <w:tcPr>
            <w:tcW w:type="dxa" w:w="1440"/>
          </w:tcPr>
          <w:p>
            <w:r>
              <w:rPr>
                <w:rFonts w:ascii="Calibri" w:hAnsi="Calibri"/>
                <w:b/>
                <w:color w:val="30A46C"/>
                <w:sz w:val="22"/>
              </w:rPr>
              <w:t>+7.6%</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Aviation Revenue</w:t>
            </w:r>
          </w:p>
        </w:tc>
        <w:tc>
          <w:tcPr>
            <w:tcW w:type="dxa" w:w="1440"/>
          </w:tcPr>
          <w:p>
            <w:r>
              <w:rPr>
                <w:rFonts w:ascii="Calibri" w:hAnsi="Calibri"/>
                <w:sz w:val="22"/>
              </w:rPr>
              <w:t>$1,479M</w:t>
            </w:r>
          </w:p>
        </w:tc>
        <w:tc>
          <w:tcPr>
            <w:tcW w:type="dxa" w:w="1440"/>
          </w:tcPr>
          <w:p>
            <w:r>
              <w:rPr>
                <w:rFonts w:ascii="Calibri" w:hAnsi="Calibri"/>
                <w:sz w:val="22"/>
              </w:rPr>
              <w:t>$1,545M</w:t>
            </w:r>
          </w:p>
        </w:tc>
        <w:tc>
          <w:tcPr>
            <w:tcW w:type="dxa" w:w="1440"/>
          </w:tcPr>
          <w:p>
            <w:r>
              <w:rPr>
                <w:rFonts w:ascii="Calibri" w:hAnsi="Calibri"/>
                <w:b/>
                <w:color w:val="E5484D"/>
                <w:sz w:val="22"/>
              </w:rPr>
              <w:t>−4.3%</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$1.55</w:t>
            </w:r>
          </w:p>
        </w:tc>
        <w:tc>
          <w:tcPr>
            <w:tcW w:type="dxa" w:w="1440"/>
          </w:tcPr>
          <w:p>
            <w:r>
              <w:rPr>
                <w:rFonts w:ascii="Calibri" w:hAnsi="Calibri"/>
                <w:sz w:val="22"/>
              </w:rPr>
              <w:t>$1.44</w:t>
            </w:r>
          </w:p>
        </w:tc>
        <w:tc>
          <w:tcPr>
            <w:tcW w:type="dxa" w:w="1440"/>
          </w:tcPr>
          <w:p>
            <w:r>
              <w:rPr>
                <w:rFonts w:ascii="Calibri" w:hAnsi="Calibri"/>
                <w:b/>
                <w:color w:val="30A46C"/>
                <w:sz w:val="22"/>
              </w:rPr>
              <w:t>+7.6%</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Aviation Revenue</w:t>
            </w:r>
          </w:p>
        </w:tc>
        <w:tc>
          <w:tcPr>
            <w:tcW w:type="dxa" w:w="1440"/>
          </w:tcPr>
          <w:p>
            <w:r>
              <w:rPr>
                <w:rFonts w:ascii="Calibri" w:hAnsi="Calibri"/>
                <w:sz w:val="22"/>
              </w:rPr>
              <w:t>$1,522M</w:t>
            </w:r>
          </w:p>
        </w:tc>
        <w:tc>
          <w:tcPr>
            <w:tcW w:type="dxa" w:w="1440"/>
          </w:tcPr>
          <w:p>
            <w:r>
              <w:rPr>
                <w:rFonts w:ascii="Calibri" w:hAnsi="Calibri"/>
                <w:sz w:val="22"/>
              </w:rPr>
              <w:t>$1,522M</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$1.28</w:t>
            </w:r>
          </w:p>
        </w:tc>
        <w:tc>
          <w:tcPr>
            <w:tcW w:type="dxa" w:w="1440"/>
          </w:tcPr>
          <w:p>
            <w:r>
              <w:rPr>
                <w:rFonts w:ascii="Calibri" w:hAnsi="Calibri"/>
                <w:sz w:val="22"/>
              </w:rPr>
              <w:t>$1.13</w:t>
            </w:r>
          </w:p>
        </w:tc>
        <w:tc>
          <w:tcPr>
            <w:tcW w:type="dxa" w:w="1440"/>
          </w:tcPr>
          <w:p>
            <w:r>
              <w:rPr>
                <w:rFonts w:ascii="Calibri" w:hAnsi="Calibri"/>
                <w:b/>
                <w:color w:val="30A46C"/>
                <w:sz w:val="22"/>
              </w:rPr>
              <w:t>+13.3%</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Aviation Revenue</w:t>
            </w:r>
          </w:p>
        </w:tc>
        <w:tc>
          <w:tcPr>
            <w:tcW w:type="dxa" w:w="1440"/>
          </w:tcPr>
          <w:p>
            <w:r>
              <w:rPr>
                <w:rFonts w:ascii="Calibri" w:hAnsi="Calibri"/>
                <w:sz w:val="22"/>
              </w:rPr>
              <w:t>$1,216M</w:t>
            </w:r>
          </w:p>
        </w:tc>
        <w:tc>
          <w:tcPr>
            <w:tcW w:type="dxa" w:w="1440"/>
          </w:tcPr>
          <w:p>
            <w:r>
              <w:rPr>
                <w:rFonts w:ascii="Calibri" w:hAnsi="Calibri"/>
                <w:sz w:val="22"/>
              </w:rPr>
              <w:t>$1,243M</w:t>
            </w:r>
          </w:p>
        </w:tc>
        <w:tc>
          <w:tcPr>
            <w:tcW w:type="dxa" w:w="1440"/>
          </w:tcPr>
          <w:p>
            <w:r>
              <w:rPr>
                <w:rFonts w:ascii="Calibri" w:hAnsi="Calibri"/>
                <w:b/>
                <w:color w:val="E5484D"/>
                <w:sz w:val="22"/>
              </w:rPr>
              <w:t>−2.2%</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$1.34</w:t>
            </w:r>
          </w:p>
        </w:tc>
        <w:tc>
          <w:tcPr>
            <w:tcW w:type="dxa" w:w="1440"/>
          </w:tcPr>
          <w:p>
            <w:r>
              <w:rPr>
                <w:rFonts w:ascii="Calibri" w:hAnsi="Calibri"/>
                <w:sz w:val="22"/>
              </w:rPr>
              <w:t>$1.37</w:t>
            </w:r>
          </w:p>
        </w:tc>
        <w:tc>
          <w:tcPr>
            <w:tcW w:type="dxa" w:w="1440"/>
          </w:tcPr>
          <w:p>
            <w:r>
              <w:rPr>
                <w:rFonts w:ascii="Calibri" w:hAnsi="Calibri"/>
                <w:b/>
                <w:color w:val="E5484D"/>
                <w:sz w:val="22"/>
              </w:rPr>
              <w:t>−2.2%</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Aviation Revenue</w:t>
            </w:r>
          </w:p>
        </w:tc>
        <w:tc>
          <w:tcPr>
            <w:tcW w:type="dxa" w:w="1440"/>
          </w:tcPr>
          <w:p>
            <w:r>
              <w:rPr>
                <w:rFonts w:ascii="Calibri" w:hAnsi="Calibri"/>
                <w:sz w:val="22"/>
              </w:rPr>
              <w:t>$1,282M</w:t>
            </w:r>
          </w:p>
        </w:tc>
        <w:tc>
          <w:tcPr>
            <w:tcW w:type="dxa" w:w="1440"/>
          </w:tcPr>
          <w:p>
            <w:r>
              <w:rPr>
                <w:rFonts w:ascii="Calibri" w:hAnsi="Calibri"/>
                <w:sz w:val="22"/>
              </w:rPr>
              <w:t>$1,525M</w:t>
            </w:r>
          </w:p>
        </w:tc>
        <w:tc>
          <w:tcPr>
            <w:tcW w:type="dxa" w:w="1440"/>
          </w:tcPr>
          <w:p>
            <w:r>
              <w:rPr>
                <w:rFonts w:ascii="Calibri" w:hAnsi="Calibri"/>
                <w:b/>
                <w:color w:val="E5484D"/>
                <w:sz w:val="22"/>
              </w:rPr>
              <w:t>−15.9%</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$1.40</w:t>
            </w:r>
          </w:p>
        </w:tc>
        <w:tc>
          <w:tcPr>
            <w:tcW w:type="dxa" w:w="1440"/>
          </w:tcPr>
          <w:p>
            <w:r>
              <w:rPr>
                <w:rFonts w:ascii="Calibri" w:hAnsi="Calibri"/>
                <w:sz w:val="22"/>
              </w:rPr>
              <w:t>$1.49</w:t>
            </w:r>
          </w:p>
        </w:tc>
        <w:tc>
          <w:tcPr>
            <w:tcW w:type="dxa" w:w="1440"/>
          </w:tcPr>
          <w:p>
            <w:r>
              <w:rPr>
                <w:rFonts w:ascii="Calibri" w:hAnsi="Calibri"/>
                <w:b/>
                <w:color w:val="E5484D"/>
                <w:sz w:val="22"/>
              </w:rPr>
              <w:t>−6.0%</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Aviation Revenue</w:t>
            </w:r>
          </w:p>
        </w:tc>
        <w:tc>
          <w:tcPr>
            <w:tcW w:type="dxa" w:w="1440"/>
          </w:tcPr>
          <w:p>
            <w:r>
              <w:rPr>
                <w:rFonts w:ascii="Calibri" w:hAnsi="Calibri"/>
                <w:sz w:val="22"/>
              </w:rPr>
              <w:t>$1,339M</w:t>
            </w:r>
          </w:p>
        </w:tc>
        <w:tc>
          <w:tcPr>
            <w:tcW w:type="dxa" w:w="1440"/>
          </w:tcPr>
          <w:p>
            <w:r>
              <w:rPr>
                <w:rFonts w:ascii="Calibri" w:hAnsi="Calibri"/>
                <w:sz w:val="22"/>
              </w:rPr>
              <w:t>$1,418M</w:t>
            </w:r>
          </w:p>
        </w:tc>
        <w:tc>
          <w:tcPr>
            <w:tcW w:type="dxa" w:w="1440"/>
          </w:tcPr>
          <w:p>
            <w:r>
              <w:rPr>
                <w:rFonts w:ascii="Calibri" w:hAnsi="Calibri"/>
                <w:b/>
                <w:color w:val="E5484D"/>
                <w:sz w:val="22"/>
              </w:rPr>
              <w:t>−5.6%</w:t>
            </w:r>
          </w:p>
        </w:tc>
        <w:tc>
          <w:tcPr>
            <w:tcW w:type="dxa" w:w="1440"/>
          </w:tcPr>
          <w:p>
            <w:r>
              <w:rPr>
                <w:rFonts w:ascii="Calibri" w:hAnsi="Calibri"/>
                <w:sz w:val="22"/>
              </w:rPr>
              <w:t>Miss</w:t>
            </w:r>
          </w:p>
        </w:tc>
      </w:tr>
    </w:tbl>
    <w:p>
      <w:r>
        <w:rPr>
          <w:rFonts w:ascii="Calibri" w:hAnsi="Calibri"/>
          <w:i/>
          <w:color w:val="525866"/>
          <w:sz w:val="22"/>
        </w:rPr>
        <w:t xml:space="preserve">Source: Visible Alpha consensus and actuals data. </w:t>
      </w:r>
      <w:r>
        <w:rPr>
          <w:rFonts w:ascii="Calibri" w:hAnsi="Calibri"/>
          <w:b/>
          <w:color w:val="525866"/>
          <w:sz w:val="22"/>
        </w:rPr>
        <w:t xml:space="preserve">Pattern: </w:t>
      </w:r>
      <w:r>
        <w:rPr>
          <w:rFonts w:ascii="Calibri" w:hAnsi="Calibri"/>
          <w:i/>
          <w:color w:val="525866"/>
          <w:sz w:val="22"/>
        </w:rPr>
        <w:t>TXT has beaten adjusted EPS in 5 of the last 8 quarters, but Aviation revenue has been a persistent source of misses — missing in 4 of the last 8 quarters, often by wide margins. The Q1 2026 beat on both metrics was the cleanest print in several quarters and sets a higher bar for Q2.</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the April 30 Q1 2026 earnings call — no post-earnings 8-K, conference, or investor day has revised the numbers. Management tone was constructive but cautious, flagging the MV-75 GFY26 funding gap as a near-term risk while expressing confidence in the Army’s ability to secure supplemental appropriations.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EPS</w:t>
            </w:r>
          </w:p>
        </w:tc>
        <w:tc>
          <w:tcPr>
            <w:tcW w:type="dxa" w:w="1728"/>
          </w:tcPr>
          <w:p>
            <w:r>
              <w:rPr>
                <w:rFonts w:ascii="Calibri" w:hAnsi="Calibri"/>
                <w:sz w:val="22"/>
              </w:rPr>
              <w:t>$6.40–$6.60</w:t>
            </w:r>
          </w:p>
        </w:tc>
        <w:tc>
          <w:tcPr>
            <w:tcW w:type="dxa" w:w="1728"/>
          </w:tcPr>
          <w:p>
            <w:r>
              <w:rPr>
                <w:rFonts w:ascii="Calibri" w:hAnsi="Calibri"/>
                <w:sz w:val="22"/>
              </w:rPr>
              <w:t>—</w:t>
            </w:r>
          </w:p>
        </w:tc>
        <w:tc>
          <w:tcPr>
            <w:tcW w:type="dxa" w:w="1728"/>
          </w:tcPr>
          <w:p>
            <w:r>
              <w:rPr>
                <w:rFonts w:ascii="Calibri" w:hAnsi="Calibri"/>
                <w:sz w:val="22"/>
              </w:rPr>
              <w:t>$6.48</w:t>
            </w:r>
          </w:p>
        </w:tc>
        <w:tc>
          <w:tcPr>
            <w:tcW w:type="dxa" w:w="1728"/>
          </w:tcPr>
          <w:p>
            <w:r>
              <w:rPr>
                <w:rFonts w:ascii="Calibri" w:hAnsi="Calibri"/>
                <w:sz w:val="22"/>
              </w:rPr>
              <w:t>Unchanged; consensus near midpoint</w:t>
            </w:r>
          </w:p>
        </w:tc>
      </w:tr>
      <w:tr>
        <w:tc>
          <w:tcPr>
            <w:tcW w:type="dxa" w:w="1728"/>
          </w:tcPr>
          <w:p>
            <w:r>
              <w:rPr>
                <w:rFonts w:ascii="Calibri" w:hAnsi="Calibri"/>
                <w:sz w:val="22"/>
              </w:rPr>
              <w:t>FY 2026 GAAP EPS</w:t>
            </w:r>
          </w:p>
        </w:tc>
        <w:tc>
          <w:tcPr>
            <w:tcW w:type="dxa" w:w="1728"/>
          </w:tcPr>
          <w:p>
            <w:r>
              <w:rPr>
                <w:rFonts w:ascii="Calibri" w:hAnsi="Calibri"/>
                <w:sz w:val="22"/>
              </w:rPr>
              <w:t>$5.39–$5.59</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FY 2026 Mfg. Cash Flow (before pension)</w:t>
            </w:r>
          </w:p>
        </w:tc>
        <w:tc>
          <w:tcPr>
            <w:tcW w:type="dxa" w:w="1728"/>
          </w:tcPr>
          <w:p>
            <w:r>
              <w:rPr>
                <w:rFonts w:ascii="Calibri" w:hAnsi="Calibri"/>
                <w:sz w:val="22"/>
              </w:rPr>
              <w:t>$700M–$800M</w:t>
            </w:r>
          </w:p>
        </w:tc>
        <w:tc>
          <w:tcPr>
            <w:tcW w:type="dxa" w:w="1728"/>
          </w:tcPr>
          <w:p>
            <w:r>
              <w:rPr>
                <w:rFonts w:ascii="Calibri" w:hAnsi="Calibri"/>
                <w:sz w:val="22"/>
              </w:rPr>
              <w:t>—</w:t>
            </w:r>
          </w:p>
        </w:tc>
        <w:tc>
          <w:tcPr>
            <w:tcW w:type="dxa" w:w="1728"/>
          </w:tcPr>
          <w:p>
            <w:r>
              <w:rPr>
                <w:rFonts w:ascii="Calibri" w:hAnsi="Calibri"/>
                <w:sz w:val="22"/>
              </w:rPr>
              <w:t>$670M</w:t>
            </w:r>
          </w:p>
        </w:tc>
        <w:tc>
          <w:tcPr>
            <w:tcW w:type="dxa" w:w="1728"/>
          </w:tcPr>
          <w:p>
            <w:r>
              <w:rPr>
                <w:rFonts w:ascii="Calibri" w:hAnsi="Calibri"/>
                <w:sz w:val="22"/>
              </w:rPr>
              <w:t>Unchanged; consensus ~11% below midpoint — Street more cautious on cash conversion</w:t>
            </w:r>
          </w:p>
        </w:tc>
      </w:tr>
      <w:tr>
        <w:tc>
          <w:tcPr>
            <w:tcW w:type="dxa" w:w="1728"/>
          </w:tcPr>
          <w:p>
            <w:r>
              <w:rPr>
                <w:rFonts w:ascii="Calibri" w:hAnsi="Calibri"/>
                <w:sz w:val="22"/>
              </w:rPr>
              <w:t>FY 2026 CapEx</w:t>
            </w:r>
          </w:p>
        </w:tc>
        <w:tc>
          <w:tcPr>
            <w:tcW w:type="dxa" w:w="1728"/>
          </w:tcPr>
          <w:p>
            <w:r>
              <w:rPr>
                <w:rFonts w:ascii="Calibri" w:hAnsi="Calibri"/>
                <w:sz w:val="22"/>
              </w:rPr>
              <w:t>$650M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Aviation Deliveries Cadence</w:t>
            </w:r>
          </w:p>
        </w:tc>
        <w:tc>
          <w:tcPr>
            <w:tcW w:type="dxa" w:w="1728"/>
          </w:tcPr>
          <w:p>
            <w:r>
              <w:rPr>
                <w:rFonts w:ascii="Calibri" w:hAnsi="Calibri"/>
                <w:sz w:val="22"/>
              </w:rPr>
              <w:t>Sequential increase each quarter; ~200 total jets for year; margin peak Q4</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management reallocating R&amp;D into supply chain/factory to drive throughput</w:t>
            </w:r>
          </w:p>
        </w:tc>
      </w:tr>
      <w:tr>
        <w:tc>
          <w:tcPr>
            <w:tcW w:type="dxa" w:w="1728"/>
          </w:tcPr>
          <w:p>
            <w:r>
              <w:rPr>
                <w:rFonts w:ascii="Calibri" w:hAnsi="Calibri"/>
                <w:sz w:val="22"/>
              </w:rPr>
              <w:t>Bell FY 2026 Margin</w:t>
            </w:r>
          </w:p>
        </w:tc>
        <w:tc>
          <w:tcPr>
            <w:tcW w:type="dxa" w:w="1728"/>
          </w:tcPr>
          <w:p>
            <w:r>
              <w:rPr>
                <w:rFonts w:ascii="Calibri" w:hAnsi="Calibri"/>
                <w:sz w:val="22"/>
              </w:rPr>
              <w:t>8%–9% for full year; commercial volume to normalize with Q4 peak</w:t>
            </w:r>
          </w:p>
        </w:tc>
        <w:tc>
          <w:tcPr>
            <w:tcW w:type="dxa" w:w="1728"/>
          </w:tcPr>
          <w:p>
            <w:r>
              <w:rPr>
                <w:rFonts w:ascii="Calibri" w:hAnsi="Calibri"/>
                <w:sz w:val="22"/>
              </w:rPr>
              <w:t>—</w:t>
            </w:r>
          </w:p>
        </w:tc>
        <w:tc>
          <w:tcPr>
            <w:tcW w:type="dxa" w:w="1728"/>
          </w:tcPr>
          <w:p>
            <w:r>
              <w:rPr>
                <w:rFonts w:ascii="Calibri" w:hAnsi="Calibri"/>
                <w:sz w:val="22"/>
              </w:rPr>
              <w:t>~7.8% implied by consensus</w:t>
            </w:r>
          </w:p>
        </w:tc>
        <w:tc>
          <w:tcPr>
            <w:tcW w:type="dxa" w:w="1728"/>
          </w:tcPr>
          <w:p>
            <w:r>
              <w:rPr>
                <w:rFonts w:ascii="Calibri" w:hAnsi="Calibri"/>
                <w:sz w:val="22"/>
              </w:rPr>
              <w:t>Unchanged; consensus tracking low end of guide</w:t>
            </w:r>
          </w:p>
        </w:tc>
      </w:tr>
      <w:tr>
        <w:tc>
          <w:tcPr>
            <w:tcW w:type="dxa" w:w="1728"/>
          </w:tcPr>
          <w:p>
            <w:r>
              <w:rPr>
                <w:rFonts w:ascii="Calibri" w:hAnsi="Calibri"/>
                <w:sz w:val="22"/>
              </w:rPr>
              <w:t>MV-75 FY 2026 Revenue</w:t>
            </w:r>
          </w:p>
        </w:tc>
        <w:tc>
          <w:tcPr>
            <w:tcW w:type="dxa" w:w="1728"/>
          </w:tcPr>
          <w:p>
            <w:r>
              <w:rPr>
                <w:rFonts w:ascii="Calibri" w:hAnsi="Calibri"/>
                <w:sz w:val="22"/>
              </w:rPr>
              <w:t>Roughly flat year-over-year; Army pursuing supplemental GFY26 funding</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Near-term funding gap flagged; FYDP calls for $2.3B in FY27 scaling to $3.8B in FY31</w:t>
            </w:r>
          </w:p>
        </w:tc>
      </w:tr>
      <w:tr>
        <w:tc>
          <w:tcPr>
            <w:tcW w:type="dxa" w:w="1728"/>
          </w:tcPr>
          <w:p>
            <w:r>
              <w:rPr>
                <w:rFonts w:ascii="Calibri" w:hAnsi="Calibri"/>
                <w:sz w:val="22"/>
              </w:rPr>
              <w:t>MV-75 LRIP Catch-Up Charge</w:t>
            </w:r>
          </w:p>
        </w:tc>
        <w:tc>
          <w:tcPr>
            <w:tcW w:type="dxa" w:w="1728"/>
          </w:tcPr>
          <w:p>
            <w:r>
              <w:rPr>
                <w:rFonts w:ascii="Calibri" w:hAnsi="Calibri"/>
                <w:sz w:val="22"/>
              </w:rPr>
              <w:t>$60M–$110M; timing depends on LRIP CLIN exercise — could be H2 2026 or H1 2027</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timing uncertainty remains a key risk</w:t>
            </w:r>
          </w:p>
        </w:tc>
      </w:tr>
      <w:tr>
        <w:tc>
          <w:tcPr>
            <w:tcW w:type="dxa" w:w="1728"/>
          </w:tcPr>
          <w:p>
            <w:r>
              <w:rPr>
                <w:rFonts w:ascii="Calibri" w:hAnsi="Calibri"/>
                <w:sz w:val="22"/>
              </w:rPr>
              <w:t>Industrial Segment Separation</w:t>
            </w:r>
          </w:p>
        </w:tc>
        <w:tc>
          <w:tcPr>
            <w:tcW w:type="dxa" w:w="1728"/>
          </w:tcPr>
          <w:p>
            <w:r>
              <w:rPr>
                <w:rFonts w:ascii="Calibri" w:hAnsi="Calibri"/>
                <w:sz w:val="22"/>
              </w:rPr>
              <w:t>Targeting completion within 12–18 months; sale or tax-free spin-off</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update since April 30 announcement; process ongoing</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been essentially stable since the Q1 print — a slight drift lower on EPS but no meaningful revision in either direction. The Street is tracking guidance closely, with the primary gap being on manufacturing cash flow where consensus sits ~11% below the guidance midpoint, suggesting the market is more cautious on cash conversion than management.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7, 2026)</w:t>
            </w:r>
          </w:p>
        </w:tc>
        <w:tc>
          <w:tcPr>
            <w:tcW w:type="dxa" w:w="1080"/>
            <w:shd w:val="clear" w:color="auto" w:fill="3B4259"/>
          </w:tcPr>
          <w:p>
            <w:r>
              <w:rPr>
                <w:rFonts w:ascii="Calibri" w:hAnsi="Calibri"/>
                <w:b/>
                <w:color w:val="FFFFFF"/>
                <w:sz w:val="22"/>
              </w:rPr>
              <w:t>Current Consensus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$1.54</w:t>
            </w:r>
          </w:p>
        </w:tc>
        <w:tc>
          <w:tcPr>
            <w:tcW w:type="dxa" w:w="1080"/>
          </w:tcPr>
          <w:p>
            <w:r>
              <w:rPr>
                <w:rFonts w:ascii="Calibri" w:hAnsi="Calibri"/>
                <w:sz w:val="22"/>
              </w:rPr>
              <w:t>$1.55</w:t>
            </w:r>
          </w:p>
        </w:tc>
        <w:tc>
          <w:tcPr>
            <w:tcW w:type="dxa" w:w="1080"/>
          </w:tcPr>
          <w:p>
            <w:r>
              <w:rPr>
                <w:rFonts w:ascii="Calibri" w:hAnsi="Calibri"/>
                <w:sz w:val="22"/>
              </w:rPr>
              <w:t>+0.6%</w:t>
            </w:r>
          </w:p>
        </w:tc>
        <w:tc>
          <w:tcPr>
            <w:tcW w:type="dxa" w:w="1080"/>
          </w:tcPr>
          <w:p>
            <w:r>
              <w:rPr>
                <w:rFonts w:ascii="Calibri" w:hAnsi="Calibri"/>
                <w:sz w:val="22"/>
              </w:rPr>
              <w:t>No quarterly guide</w:t>
            </w:r>
          </w:p>
        </w:tc>
        <w:tc>
          <w:tcPr>
            <w:tcW w:type="dxa" w:w="1080"/>
          </w:tcPr>
          <w:p>
            <w:r>
              <w:rPr>
                <w:rFonts w:ascii="Calibri" w:hAnsi="Calibri"/>
                <w:sz w:val="22"/>
              </w:rPr>
              <w:t>No quarterly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$6.48</w:t>
            </w:r>
          </w:p>
        </w:tc>
        <w:tc>
          <w:tcPr>
            <w:tcW w:type="dxa" w:w="1080"/>
          </w:tcPr>
          <w:p>
            <w:r>
              <w:rPr>
                <w:rFonts w:ascii="Calibri" w:hAnsi="Calibri"/>
                <w:sz w:val="22"/>
              </w:rPr>
              <w:t>$6.48</w:t>
            </w:r>
          </w:p>
        </w:tc>
        <w:tc>
          <w:tcPr>
            <w:tcW w:type="dxa" w:w="1080"/>
          </w:tcPr>
          <w:p>
            <w:r>
              <w:rPr>
                <w:rFonts w:ascii="Calibri" w:hAnsi="Calibri"/>
                <w:sz w:val="22"/>
              </w:rPr>
              <w:t>0.0%</w:t>
            </w:r>
          </w:p>
        </w:tc>
        <w:tc>
          <w:tcPr>
            <w:tcW w:type="dxa" w:w="1080"/>
          </w:tcPr>
          <w:p>
            <w:r>
              <w:rPr>
                <w:rFonts w:ascii="Calibri" w:hAnsi="Calibri"/>
                <w:sz w:val="22"/>
              </w:rPr>
              <w:t>$6.40–$6.60</w:t>
            </w:r>
          </w:p>
        </w:tc>
        <w:tc>
          <w:tcPr>
            <w:tcW w:type="dxa" w:w="1080"/>
          </w:tcPr>
          <w:p>
            <w:r>
              <w:rPr>
                <w:rFonts w:ascii="Calibri" w:hAnsi="Calibri"/>
                <w:sz w:val="22"/>
              </w:rPr>
              <w:t>$6.40–$6.60</w:t>
            </w:r>
          </w:p>
        </w:tc>
        <w:tc>
          <w:tcPr>
            <w:tcW w:type="dxa" w:w="1080"/>
          </w:tcPr>
          <w:p>
            <w:r>
              <w:rPr>
                <w:rFonts w:ascii="Calibri" w:hAnsi="Calibri"/>
                <w:sz w:val="22"/>
              </w:rPr>
              <w:t>Unchanged</w:t>
            </w:r>
          </w:p>
        </w:tc>
        <w:tc>
          <w:tcPr>
            <w:tcW w:type="dxa" w:w="1080"/>
          </w:tcPr>
          <w:p>
            <w:r>
              <w:rPr>
                <w:rFonts w:ascii="Calibri" w:hAnsi="Calibri"/>
                <w:sz w:val="22"/>
              </w:rPr>
              <w:t>−0.3% vs. midpoint</w:t>
            </w:r>
          </w:p>
        </w:tc>
      </w:tr>
      <w:tr>
        <w:tc>
          <w:tcPr>
            <w:tcW w:type="dxa" w:w="1080"/>
          </w:tcPr>
          <w:p>
            <w:r>
              <w:rPr>
                <w:rFonts w:ascii="Calibri" w:hAnsi="Calibri"/>
                <w:sz w:val="22"/>
              </w:rPr>
              <w:t>Total Revenue — Q2 2026</w:t>
            </w:r>
          </w:p>
        </w:tc>
        <w:tc>
          <w:tcPr>
            <w:tcW w:type="dxa" w:w="1080"/>
          </w:tcPr>
          <w:p>
            <w:r>
              <w:rPr>
                <w:rFonts w:ascii="Calibri" w:hAnsi="Calibri"/>
                <w:sz w:val="22"/>
              </w:rPr>
              <w:t>$3,803M</w:t>
            </w:r>
          </w:p>
        </w:tc>
        <w:tc>
          <w:tcPr>
            <w:tcW w:type="dxa" w:w="1080"/>
          </w:tcPr>
          <w:p>
            <w:r>
              <w:rPr>
                <w:rFonts w:ascii="Calibri" w:hAnsi="Calibri"/>
                <w:sz w:val="22"/>
              </w:rPr>
              <w:t>$3,813M</w:t>
            </w:r>
          </w:p>
        </w:tc>
        <w:tc>
          <w:tcPr>
            <w:tcW w:type="dxa" w:w="1080"/>
          </w:tcPr>
          <w:p>
            <w:r>
              <w:rPr>
                <w:rFonts w:ascii="Calibri" w:hAnsi="Calibri"/>
                <w:sz w:val="22"/>
              </w:rPr>
              <w:t>+0.3%</w:t>
            </w:r>
          </w:p>
        </w:tc>
        <w:tc>
          <w:tcPr>
            <w:tcW w:type="dxa" w:w="1080"/>
          </w:tcPr>
          <w:p>
            <w:r>
              <w:rPr>
                <w:rFonts w:ascii="Calibri" w:hAnsi="Calibri"/>
                <w:sz w:val="22"/>
              </w:rPr>
              <w:t>No quarterly guide</w:t>
            </w:r>
          </w:p>
        </w:tc>
        <w:tc>
          <w:tcPr>
            <w:tcW w:type="dxa" w:w="1080"/>
          </w:tcPr>
          <w:p>
            <w:r>
              <w:rPr>
                <w:rFonts w:ascii="Calibri" w:hAnsi="Calibri"/>
                <w:sz w:val="22"/>
              </w:rPr>
              <w:t>No quarterly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$15,587M</w:t>
            </w:r>
          </w:p>
        </w:tc>
        <w:tc>
          <w:tcPr>
            <w:tcW w:type="dxa" w:w="1080"/>
          </w:tcPr>
          <w:p>
            <w:r>
              <w:rPr>
                <w:rFonts w:ascii="Calibri" w:hAnsi="Calibri"/>
                <w:sz w:val="22"/>
              </w:rPr>
              <w:t>$15,603M</w:t>
            </w:r>
          </w:p>
        </w:tc>
        <w:tc>
          <w:tcPr>
            <w:tcW w:type="dxa" w:w="1080"/>
          </w:tcPr>
          <w:p>
            <w:r>
              <w:rPr>
                <w:rFonts w:ascii="Calibri" w:hAnsi="Calibri"/>
                <w:sz w:val="22"/>
              </w:rPr>
              <w:t>+0.1%</w:t>
            </w:r>
          </w:p>
        </w:tc>
        <w:tc>
          <w:tcPr>
            <w:tcW w:type="dxa" w:w="1080"/>
          </w:tcPr>
          <w:p>
            <w:r>
              <w:rPr>
                <w:rFonts w:ascii="Calibri" w:hAnsi="Calibri"/>
                <w:sz w:val="22"/>
              </w:rPr>
              <w:t>No explicit FY guide</w:t>
            </w:r>
          </w:p>
        </w:tc>
        <w:tc>
          <w:tcPr>
            <w:tcW w:type="dxa" w:w="1080"/>
          </w:tcPr>
          <w:p>
            <w:r>
              <w:rPr>
                <w:rFonts w:ascii="Calibri" w:hAnsi="Calibri"/>
                <w:sz w:val="22"/>
              </w:rPr>
              <w:t>No explicit FY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Aviation Revenue — Q2 2026</w:t>
            </w:r>
          </w:p>
        </w:tc>
        <w:tc>
          <w:tcPr>
            <w:tcW w:type="dxa" w:w="1080"/>
          </w:tcPr>
          <w:p>
            <w:r>
              <w:rPr>
                <w:rFonts w:ascii="Calibri" w:hAnsi="Calibri"/>
                <w:sz w:val="22"/>
              </w:rPr>
              <w:t>$1,570M</w:t>
            </w:r>
          </w:p>
        </w:tc>
        <w:tc>
          <w:tcPr>
            <w:tcW w:type="dxa" w:w="1080"/>
          </w:tcPr>
          <w:p>
            <w:r>
              <w:rPr>
                <w:rFonts w:ascii="Calibri" w:hAnsi="Calibri"/>
                <w:sz w:val="22"/>
              </w:rPr>
              <w:t>$1,585M</w:t>
            </w:r>
          </w:p>
        </w:tc>
        <w:tc>
          <w:tcPr>
            <w:tcW w:type="dxa" w:w="1080"/>
          </w:tcPr>
          <w:p>
            <w:r>
              <w:rPr>
                <w:rFonts w:ascii="Calibri" w:hAnsi="Calibri"/>
                <w:sz w:val="22"/>
              </w:rPr>
              <w:t>+1.0%</w:t>
            </w:r>
          </w:p>
        </w:tc>
        <w:tc>
          <w:tcPr>
            <w:tcW w:type="dxa" w:w="1080"/>
          </w:tcPr>
          <w:p>
            <w:r>
              <w:rPr>
                <w:rFonts w:ascii="Calibri" w:hAnsi="Calibri"/>
                <w:sz w:val="22"/>
              </w:rPr>
              <w:t>No quarterly guide</w:t>
            </w:r>
          </w:p>
        </w:tc>
        <w:tc>
          <w:tcPr>
            <w:tcW w:type="dxa" w:w="1080"/>
          </w:tcPr>
          <w:p>
            <w:r>
              <w:rPr>
                <w:rFonts w:ascii="Calibri" w:hAnsi="Calibri"/>
                <w:sz w:val="22"/>
              </w:rPr>
              <w:t>No quarterly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Aviation Revenue — FY 2026</w:t>
            </w:r>
          </w:p>
        </w:tc>
        <w:tc>
          <w:tcPr>
            <w:tcW w:type="dxa" w:w="1080"/>
          </w:tcPr>
          <w:p>
            <w:r>
              <w:rPr>
                <w:rFonts w:ascii="Calibri" w:hAnsi="Calibri"/>
                <w:sz w:val="22"/>
              </w:rPr>
              <w:t>$6,478M</w:t>
            </w:r>
          </w:p>
        </w:tc>
        <w:tc>
          <w:tcPr>
            <w:tcW w:type="dxa" w:w="1080"/>
          </w:tcPr>
          <w:p>
            <w:r>
              <w:rPr>
                <w:rFonts w:ascii="Calibri" w:hAnsi="Calibri"/>
                <w:sz w:val="22"/>
              </w:rPr>
              <w:t>$6,497M</w:t>
            </w:r>
          </w:p>
        </w:tc>
        <w:tc>
          <w:tcPr>
            <w:tcW w:type="dxa" w:w="1080"/>
          </w:tcPr>
          <w:p>
            <w:r>
              <w:rPr>
                <w:rFonts w:ascii="Calibri" w:hAnsi="Calibri"/>
                <w:sz w:val="22"/>
              </w:rPr>
              <w:t>+0.3%</w:t>
            </w:r>
          </w:p>
        </w:tc>
        <w:tc>
          <w:tcPr>
            <w:tcW w:type="dxa" w:w="1080"/>
          </w:tcPr>
          <w:p>
            <w:r>
              <w:rPr>
                <w:rFonts w:ascii="Calibri" w:hAnsi="Calibri"/>
                <w:sz w:val="22"/>
              </w:rPr>
              <w:t>~$6.5B implied (~200 jets)</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~−0.1% vs. implied guide</w:t>
            </w:r>
          </w:p>
        </w:tc>
      </w:tr>
      <w:tr>
        <w:tc>
          <w:tcPr>
            <w:tcW w:type="dxa" w:w="1080"/>
          </w:tcPr>
          <w:p>
            <w:r>
              <w:rPr>
                <w:rFonts w:ascii="Calibri" w:hAnsi="Calibri"/>
                <w:sz w:val="22"/>
              </w:rPr>
              <w:t>Bell Revenue — Q2 2026</w:t>
            </w:r>
          </w:p>
        </w:tc>
        <w:tc>
          <w:tcPr>
            <w:tcW w:type="dxa" w:w="1080"/>
          </w:tcPr>
          <w:p>
            <w:r>
              <w:rPr>
                <w:rFonts w:ascii="Calibri" w:hAnsi="Calibri"/>
                <w:sz w:val="22"/>
              </w:rPr>
              <w:t>$1,042M</w:t>
            </w:r>
          </w:p>
        </w:tc>
        <w:tc>
          <w:tcPr>
            <w:tcW w:type="dxa" w:w="1080"/>
          </w:tcPr>
          <w:p>
            <w:r>
              <w:rPr>
                <w:rFonts w:ascii="Calibri" w:hAnsi="Calibri"/>
                <w:sz w:val="22"/>
              </w:rPr>
              <w:t>$1,040M</w:t>
            </w:r>
          </w:p>
        </w:tc>
        <w:tc>
          <w:tcPr>
            <w:tcW w:type="dxa" w:w="1080"/>
          </w:tcPr>
          <w:p>
            <w:r>
              <w:rPr>
                <w:rFonts w:ascii="Calibri" w:hAnsi="Calibri"/>
                <w:sz w:val="22"/>
              </w:rPr>
              <w:t>−0.2%</w:t>
            </w:r>
          </w:p>
        </w:tc>
        <w:tc>
          <w:tcPr>
            <w:tcW w:type="dxa" w:w="1080"/>
          </w:tcPr>
          <w:p>
            <w:r>
              <w:rPr>
                <w:rFonts w:ascii="Calibri" w:hAnsi="Calibri"/>
                <w:sz w:val="22"/>
              </w:rPr>
              <w:t>No quarterly guide</w:t>
            </w:r>
          </w:p>
        </w:tc>
        <w:tc>
          <w:tcPr>
            <w:tcW w:type="dxa" w:w="1080"/>
          </w:tcPr>
          <w:p>
            <w:r>
              <w:rPr>
                <w:rFonts w:ascii="Calibri" w:hAnsi="Calibri"/>
                <w:sz w:val="22"/>
              </w:rPr>
              <w:t>No quarterly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Bell Revenue — FY 2026</w:t>
            </w:r>
          </w:p>
        </w:tc>
        <w:tc>
          <w:tcPr>
            <w:tcW w:type="dxa" w:w="1080"/>
          </w:tcPr>
          <w:p>
            <w:r>
              <w:rPr>
                <w:rFonts w:ascii="Calibri" w:hAnsi="Calibri"/>
                <w:sz w:val="22"/>
              </w:rPr>
              <w:t>$4,440M</w:t>
            </w:r>
          </w:p>
        </w:tc>
        <w:tc>
          <w:tcPr>
            <w:tcW w:type="dxa" w:w="1080"/>
          </w:tcPr>
          <w:p>
            <w:r>
              <w:rPr>
                <w:rFonts w:ascii="Calibri" w:hAnsi="Calibri"/>
                <w:sz w:val="22"/>
              </w:rPr>
              <w:t>$4,441M</w:t>
            </w:r>
          </w:p>
        </w:tc>
        <w:tc>
          <w:tcPr>
            <w:tcW w:type="dxa" w:w="1080"/>
          </w:tcPr>
          <w:p>
            <w:r>
              <w:rPr>
                <w:rFonts w:ascii="Calibri" w:hAnsi="Calibri"/>
                <w:sz w:val="22"/>
              </w:rPr>
              <w:t>0.0%</w:t>
            </w:r>
          </w:p>
        </w:tc>
        <w:tc>
          <w:tcPr>
            <w:tcW w:type="dxa" w:w="1080"/>
          </w:tcPr>
          <w:p>
            <w:r>
              <w:rPr>
                <w:rFonts w:ascii="Calibri" w:hAnsi="Calibri"/>
                <w:sz w:val="22"/>
              </w:rPr>
              <w:t>MV-75 flat YoY; commercial normalizing</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Tracking guidance</w:t>
            </w:r>
          </w:p>
        </w:tc>
      </w:tr>
      <w:tr>
        <w:tc>
          <w:tcPr>
            <w:tcW w:type="dxa" w:w="1080"/>
          </w:tcPr>
          <w:p>
            <w:r>
              <w:rPr>
                <w:rFonts w:ascii="Calibri" w:hAnsi="Calibri"/>
                <w:sz w:val="22"/>
              </w:rPr>
              <w:t>Mfg. FCF — FY 2026</w:t>
            </w:r>
          </w:p>
        </w:tc>
        <w:tc>
          <w:tcPr>
            <w:tcW w:type="dxa" w:w="1080"/>
          </w:tcPr>
          <w:p>
            <w:r>
              <w:rPr>
                <w:rFonts w:ascii="Calibri" w:hAnsi="Calibri"/>
                <w:sz w:val="22"/>
              </w:rPr>
              <w:t>$664M</w:t>
            </w:r>
          </w:p>
        </w:tc>
        <w:tc>
          <w:tcPr>
            <w:tcW w:type="dxa" w:w="1080"/>
          </w:tcPr>
          <w:p>
            <w:r>
              <w:rPr>
                <w:rFonts w:ascii="Calibri" w:hAnsi="Calibri"/>
                <w:sz w:val="22"/>
              </w:rPr>
              <w:t>$670M</w:t>
            </w:r>
          </w:p>
        </w:tc>
        <w:tc>
          <w:tcPr>
            <w:tcW w:type="dxa" w:w="1080"/>
          </w:tcPr>
          <w:p>
            <w:r>
              <w:rPr>
                <w:rFonts w:ascii="Calibri" w:hAnsi="Calibri"/>
                <w:sz w:val="22"/>
              </w:rPr>
              <w:t>+0.9%</w:t>
            </w:r>
          </w:p>
        </w:tc>
        <w:tc>
          <w:tcPr>
            <w:tcW w:type="dxa" w:w="1080"/>
          </w:tcPr>
          <w:p>
            <w:r>
              <w:rPr>
                <w:rFonts w:ascii="Calibri" w:hAnsi="Calibri"/>
                <w:sz w:val="22"/>
              </w:rPr>
              <w:t>$700M–$800M</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−11% vs. midpoint — Street more cautious</w:t>
            </w:r>
          </w:p>
        </w:tc>
      </w:tr>
    </w:tbl>
    <w:p>
      <w:r>
        <w:rPr>
          <w:rFonts w:ascii="Calibri" w:hAnsi="Calibri"/>
          <w:i/>
          <w:color w:val="525866"/>
          <w:sz w:val="22"/>
        </w:rPr>
        <w:t xml:space="preserve">Source: Visible Alpha consensus and actuals data. Post-Q1 baseline uses consensus as of May 7, 2026 (5 trading days after April 30 earnings). </w:t>
      </w:r>
      <w:r>
        <w:rPr>
          <w:rFonts w:ascii="Calibri" w:hAnsi="Calibri"/>
          <w:i/>
          <w:color w:val="525866"/>
          <w:sz w:val="22"/>
        </w:rPr>
        <w:t>The revision picture is remarkably stable — estimates have barely moved since the Q1 print, suggesting the Street has high conviction in the guidance framework but is not yet willing to model above the midpoint on cash flow, where MV-75 CapEx and LRIP timing uncertainty create downside risk.</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TXT has lagged XLI since the Q1 earnings date despite a strong beat-and-raise print, suggesting the market is discounting the Industrial separation optionality and MV-75 execution risk rather than rewarding the Q1 beat. The recent 1-month rally (+8%) is multiple-driven (EV/EBITDA expanded ~9%), not estimate-driven, indicating sentiment improvement rather than fundamental revision.</w:t>
      </w:r>
    </w:p>
    <w:p>
      <w:r>
        <w:rPr>
          <w:rFonts w:ascii="Calibri" w:hAnsi="Calibri"/>
          <w:b/>
          <w:color w:val="525866"/>
          <w:sz w:val="22"/>
        </w:rPr>
        <w:t>Chart: TXT vs. XLI vs. S&amp;P 500 — Indexed to 100 at April 30,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TXT (Indexed)</w:t>
            </w:r>
          </w:p>
        </w:tc>
        <w:tc>
          <w:tcPr>
            <w:tcW w:type="dxa" w:w="2160"/>
            <w:shd w:val="clear" w:color="auto" w:fill="3B4259"/>
          </w:tcPr>
          <w:p>
            <w:r>
              <w:rPr>
                <w:rFonts w:ascii="Calibri" w:hAnsi="Calibri"/>
                <w:b/>
                <w:color w:val="FFFFFF"/>
                <w:sz w:val="22"/>
              </w:rPr>
              <w:t>XLI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30,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15, 2026</w:t>
            </w:r>
          </w:p>
        </w:tc>
        <w:tc>
          <w:tcPr>
            <w:tcW w:type="dxa" w:w="2160"/>
          </w:tcPr>
          <w:p>
            <w:r>
              <w:rPr>
                <w:rFonts w:ascii="Calibri" w:hAnsi="Calibri"/>
                <w:sz w:val="22"/>
              </w:rPr>
              <w:t>92.5</w:t>
            </w:r>
          </w:p>
        </w:tc>
        <w:tc>
          <w:tcPr>
            <w:tcW w:type="dxa" w:w="2160"/>
          </w:tcPr>
          <w:p>
            <w:r>
              <w:rPr>
                <w:rFonts w:ascii="Calibri" w:hAnsi="Calibri"/>
                <w:sz w:val="22"/>
              </w:rPr>
              <w:t>98.2</w:t>
            </w:r>
          </w:p>
        </w:tc>
        <w:tc>
          <w:tcPr>
            <w:tcW w:type="dxa" w:w="2160"/>
          </w:tcPr>
          <w:p>
            <w:r>
              <w:rPr>
                <w:rFonts w:ascii="Calibri" w:hAnsi="Calibri"/>
                <w:sz w:val="22"/>
              </w:rPr>
              <w:t>102.9</w:t>
            </w:r>
          </w:p>
        </w:tc>
      </w:tr>
      <w:tr>
        <w:tc>
          <w:tcPr>
            <w:tcW w:type="dxa" w:w="2160"/>
          </w:tcPr>
          <w:p>
            <w:r>
              <w:rPr>
                <w:rFonts w:ascii="Calibri" w:hAnsi="Calibri"/>
                <w:sz w:val="22"/>
              </w:rPr>
              <w:t>Jun 1, 2026</w:t>
            </w:r>
          </w:p>
        </w:tc>
        <w:tc>
          <w:tcPr>
            <w:tcW w:type="dxa" w:w="2160"/>
          </w:tcPr>
          <w:p>
            <w:r>
              <w:rPr>
                <w:rFonts w:ascii="Calibri" w:hAnsi="Calibri"/>
                <w:sz w:val="22"/>
              </w:rPr>
              <w:t>93.4</w:t>
            </w:r>
          </w:p>
        </w:tc>
        <w:tc>
          <w:tcPr>
            <w:tcW w:type="dxa" w:w="2160"/>
          </w:tcPr>
          <w:p>
            <w:r>
              <w:rPr>
                <w:rFonts w:ascii="Calibri" w:hAnsi="Calibri"/>
                <w:sz w:val="22"/>
              </w:rPr>
              <w:t>98.8</w:t>
            </w:r>
          </w:p>
        </w:tc>
        <w:tc>
          <w:tcPr>
            <w:tcW w:type="dxa" w:w="2160"/>
          </w:tcPr>
          <w:p>
            <w:r>
              <w:rPr>
                <w:rFonts w:ascii="Calibri" w:hAnsi="Calibri"/>
                <w:sz w:val="22"/>
              </w:rPr>
              <w:t>105.6</w:t>
            </w:r>
          </w:p>
        </w:tc>
      </w:tr>
      <w:tr>
        <w:tc>
          <w:tcPr>
            <w:tcW w:type="dxa" w:w="2160"/>
          </w:tcPr>
          <w:p>
            <w:r>
              <w:rPr>
                <w:rFonts w:ascii="Calibri" w:hAnsi="Calibri"/>
                <w:sz w:val="22"/>
              </w:rPr>
              <w:t>Jun 22, 2026</w:t>
            </w:r>
          </w:p>
        </w:tc>
        <w:tc>
          <w:tcPr>
            <w:tcW w:type="dxa" w:w="2160"/>
          </w:tcPr>
          <w:p>
            <w:r>
              <w:rPr>
                <w:rFonts w:ascii="Calibri" w:hAnsi="Calibri"/>
                <w:sz w:val="22"/>
              </w:rPr>
              <w:t>90.6</w:t>
            </w:r>
          </w:p>
        </w:tc>
        <w:tc>
          <w:tcPr>
            <w:tcW w:type="dxa" w:w="2160"/>
          </w:tcPr>
          <w:p>
            <w:r>
              <w:rPr>
                <w:rFonts w:ascii="Calibri" w:hAnsi="Calibri"/>
                <w:sz w:val="22"/>
              </w:rPr>
              <w:t>104.1</w:t>
            </w:r>
          </w:p>
        </w:tc>
        <w:tc>
          <w:tcPr>
            <w:tcW w:type="dxa" w:w="2160"/>
          </w:tcPr>
          <w:p>
            <w:r>
              <w:rPr>
                <w:rFonts w:ascii="Calibri" w:hAnsi="Calibri"/>
                <w:sz w:val="22"/>
              </w:rPr>
              <w:t>103.6</w:t>
            </w:r>
          </w:p>
        </w:tc>
      </w:tr>
      <w:tr>
        <w:tc>
          <w:tcPr>
            <w:tcW w:type="dxa" w:w="2160"/>
          </w:tcPr>
          <w:p>
            <w:r>
              <w:rPr>
                <w:rFonts w:ascii="Calibri" w:hAnsi="Calibri"/>
                <w:sz w:val="22"/>
              </w:rPr>
              <w:t>Jun 30, 2026</w:t>
            </w:r>
          </w:p>
        </w:tc>
        <w:tc>
          <w:tcPr>
            <w:tcW w:type="dxa" w:w="2160"/>
          </w:tcPr>
          <w:p>
            <w:r>
              <w:rPr>
                <w:rFonts w:ascii="Calibri" w:hAnsi="Calibri"/>
                <w:sz w:val="22"/>
              </w:rPr>
              <w:t>95.6</w:t>
            </w:r>
          </w:p>
        </w:tc>
        <w:tc>
          <w:tcPr>
            <w:tcW w:type="dxa" w:w="2160"/>
          </w:tcPr>
          <w:p>
            <w:r>
              <w:rPr>
                <w:rFonts w:ascii="Calibri" w:hAnsi="Calibri"/>
                <w:sz w:val="22"/>
              </w:rPr>
              <w:t>106.1</w:t>
            </w:r>
          </w:p>
        </w:tc>
        <w:tc>
          <w:tcPr>
            <w:tcW w:type="dxa" w:w="2160"/>
          </w:tcPr>
          <w:p>
            <w:r>
              <w:rPr>
                <w:rFonts w:ascii="Calibri" w:hAnsi="Calibri"/>
                <w:sz w:val="22"/>
              </w:rPr>
              <w:t>103.9</w:t>
            </w:r>
          </w:p>
        </w:tc>
      </w:tr>
      <w:tr>
        <w:tc>
          <w:tcPr>
            <w:tcW w:type="dxa" w:w="2160"/>
          </w:tcPr>
          <w:p>
            <w:r>
              <w:rPr>
                <w:rFonts w:ascii="Calibri" w:hAnsi="Calibri"/>
                <w:sz w:val="22"/>
              </w:rPr>
              <w:t>Jul 16, 2026</w:t>
            </w:r>
          </w:p>
        </w:tc>
        <w:tc>
          <w:tcPr>
            <w:tcW w:type="dxa" w:w="2160"/>
          </w:tcPr>
          <w:p>
            <w:r>
              <w:rPr>
                <w:rFonts w:ascii="Calibri" w:hAnsi="Calibri"/>
                <w:sz w:val="22"/>
              </w:rPr>
              <w:t>94.5</w:t>
            </w:r>
          </w:p>
        </w:tc>
        <w:tc>
          <w:tcPr>
            <w:tcW w:type="dxa" w:w="2160"/>
          </w:tcPr>
          <w:p>
            <w:r>
              <w:rPr>
                <w:rFonts w:ascii="Calibri" w:hAnsi="Calibri"/>
                <w:sz w:val="22"/>
              </w:rPr>
              <w:t>103.2</w:t>
            </w:r>
          </w:p>
        </w:tc>
        <w:tc>
          <w:tcPr>
            <w:tcW w:type="dxa" w:w="2160"/>
          </w:tcPr>
          <w:p>
            <w:r>
              <w:rPr>
                <w:rFonts w:ascii="Calibri" w:hAnsi="Calibri"/>
                <w:sz w:val="22"/>
              </w:rPr>
              <w:t>104.5</w:t>
            </w:r>
          </w:p>
        </w:tc>
      </w:tr>
      <w:tr>
        <w:tc>
          <w:tcPr>
            <w:tcW w:type="dxa" w:w="2160"/>
          </w:tcPr>
          <w:p>
            <w:r>
              <w:rPr>
                <w:rFonts w:ascii="Calibri" w:hAnsi="Calibri"/>
                <w:sz w:val="22"/>
              </w:rPr>
              <w:t>Jul 24, 2026</w:t>
            </w:r>
          </w:p>
        </w:tc>
        <w:tc>
          <w:tcPr>
            <w:tcW w:type="dxa" w:w="2160"/>
          </w:tcPr>
          <w:p>
            <w:r>
              <w:rPr>
                <w:rFonts w:ascii="Calibri" w:hAnsi="Calibri"/>
                <w:sz w:val="22"/>
              </w:rPr>
              <w:t>99.6</w:t>
            </w:r>
          </w:p>
        </w:tc>
        <w:tc>
          <w:tcPr>
            <w:tcW w:type="dxa" w:w="2160"/>
          </w:tcPr>
          <w:p>
            <w:r>
              <w:rPr>
                <w:rFonts w:ascii="Calibri" w:hAnsi="Calibri"/>
                <w:sz w:val="22"/>
              </w:rPr>
              <w:t>104.6</w:t>
            </w:r>
          </w:p>
        </w:tc>
        <w:tc>
          <w:tcPr>
            <w:tcW w:type="dxa" w:w="2160"/>
          </w:tcPr>
          <w:p>
            <w:r>
              <w:rPr>
                <w:rFonts w:ascii="Calibri" w:hAnsi="Calibri"/>
                <w:sz w:val="22"/>
              </w:rPr>
              <w:t>102.8</w:t>
            </w:r>
          </w:p>
        </w:tc>
      </w:tr>
      <w:tr>
        <w:tc>
          <w:tcPr>
            <w:tcW w:type="dxa" w:w="2160"/>
          </w:tcPr>
          <w:p>
            <w:r>
              <w:rPr>
                <w:rFonts w:ascii="Calibri" w:hAnsi="Calibri"/>
                <w:sz w:val="22"/>
              </w:rPr>
              <w:t>Jul 28, 2026 (Pre-Earnings)</w:t>
            </w:r>
          </w:p>
        </w:tc>
        <w:tc>
          <w:tcPr>
            <w:tcW w:type="dxa" w:w="2160"/>
          </w:tcPr>
          <w:p>
            <w:r>
              <w:rPr>
                <w:rFonts w:ascii="Calibri" w:hAnsi="Calibri"/>
                <w:sz w:val="22"/>
              </w:rPr>
              <w:t>100.2</w:t>
            </w:r>
          </w:p>
        </w:tc>
        <w:tc>
          <w:tcPr>
            <w:tcW w:type="dxa" w:w="2160"/>
          </w:tcPr>
          <w:p>
            <w:r>
              <w:rPr>
                <w:rFonts w:ascii="Calibri" w:hAnsi="Calibri"/>
                <w:sz w:val="22"/>
              </w:rPr>
              <w:t>104.9</w:t>
            </w:r>
          </w:p>
        </w:tc>
        <w:tc>
          <w:tcPr>
            <w:tcW w:type="dxa" w:w="2160"/>
          </w:tcPr>
          <w:p>
            <w:r>
              <w:rPr>
                <w:rFonts w:ascii="Calibri" w:hAnsi="Calibri"/>
                <w:sz w:val="22"/>
              </w:rPr>
              <w:t>102.8</w:t>
            </w:r>
          </w:p>
        </w:tc>
      </w:tr>
    </w:tbl>
    <w:p>
      <w:r>
        <w:rPr>
          <w:rFonts w:ascii="Calibri" w:hAnsi="Calibri"/>
          <w:i/>
          <w:color w:val="525866"/>
          <w:sz w:val="22"/>
        </w:rPr>
        <w:t xml:space="preserve">Source: Yahoo Finance / Stock Price Data. Base = April 30, 2026 closing prices (TXT: $95.96, XLI: $174.58, SPY: $718.66). Current prices as of July 28, 2026 pre-market (TXT: $96.13, XLI: $183.20, SPY: $739.09). </w:t>
      </w:r>
    </w:p>
    <w:p>
      <w:r>
        <w:rPr>
          <w:rFonts w:ascii="Calibri" w:hAnsi="Calibri"/>
          <w:b/>
          <w:color w:val="525866"/>
          <w:sz w:val="22"/>
        </w:rPr>
        <w:t xml:space="preserve">Performance Summary (Apr 30 → Jul 28, 2026): </w:t>
      </w:r>
      <w:r>
        <w:rPr>
          <w:rFonts w:ascii="Calibri" w:hAnsi="Calibri"/>
          <w:color w:val="525866"/>
          <w:sz w:val="22"/>
        </w:rPr>
        <w:t>TXT +0.2% | XLI +4.9% | SPY +2.8%. TXT has meaningfully underperformed XLI since the Q1 earnings date, despite the strong beat-and-raise print. The stock dipped to a low of ~$86 in late June (roughly −10% from the earnings date) before recovering sharply in July as defense peers (LMT, RTX, NOC) reported strong Q2 results and raised guidance, lifting sentiment across the A&amp;D sector. The 1-month performance of +8% is almost entirely multiple expansion (EV/EBITDA expanded ~9% per the stock performance decomposition data), not estimate revision, suggesting the recovery is sentiment-driven and could be fragile if Q2 results disappoint.</w:t>
      </w:r>
    </w:p>
    <w:p>
      <w:r>
        <w:rPr>
          <w:rFonts w:ascii="Calibri" w:hAnsi="Calibri"/>
          <w:b/>
          <w:color w:val="525866"/>
          <w:sz w:val="22"/>
        </w:rPr>
        <w:t xml:space="preserve">Key Events Since Apr 30: </w:t>
      </w:r>
      <w:r>
        <w:rPr>
          <w:rFonts w:ascii="Calibri" w:hAnsi="Calibri"/>
          <w:color w:val="525866"/>
          <w:sz w:val="22"/>
        </w:rPr>
        <w:t>(1) Apr 30 — Q1 2026 beat + Industrial separation announcement (stock surged pre-market). (2) May 1 — Annual shareholder meeting (directors, auditors, executive pay approved). (3) Jul 1 — TXT announced Q2 results release date of July 28, 2026. (4) Jul 13–23 — Defense peer earnings season (LMT, RTX, NOC all beat and raised guidance), lifting A&amp;D sector sentiment and pulling TXT higher into its own print.</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wave of defense peer beats-and-raises (LMT, RTX, NOC) confirming robust defense demand, strong backlogs, and improving supply chains — all positive read-throughs for TXT’s Bell and Systems segments heading into Q2. The Industrial separation process is ongoing with no update, and the MV-75 GFY26 funding gap remains the primary company-specific risk.</w:t>
      </w:r>
    </w:p>
    <w:p>
      <w:pPr>
        <w:pStyle w:val="ListBullet"/>
        <w:ind w:left="360" w:hanging="360"/>
      </w:pPr>
      <w:r>
        <w:rPr>
          <w:rFonts w:ascii="Calibri" w:hAnsi="Calibri"/>
          <w:b/>
          <w:color w:val="525866"/>
          <w:sz w:val="22"/>
        </w:rPr>
        <w:t xml:space="preserve">Jul 23, 2026 — Lockheed Martin Q2 2026 beat-and-raise: </w:t>
      </w:r>
      <w:r>
        <w:rPr>
          <w:rFonts w:ascii="Calibri" w:hAnsi="Calibri"/>
          <w:color w:val="525866"/>
          <w:sz w:val="22"/>
        </w:rPr>
        <w:t xml:space="preserve">LMT reported EPS of $7.94 vs. $7.19 consensus, revenue of $20.1B vs. $19.3B consensus, and raised FY2026 EPS guidance to ~$30.30 from ~$29.80. Backlog hit a record $230B. Sikorsky (a Bell competitor) is ramping deliveries across four platforms, with the CH-53K potentially doubling deliveries this year and again next year. </w:t>
      </w:r>
    </w:p>
    <w:p>
      <w:pPr>
        <w:pStyle w:val="ListBullet"/>
        <w:ind w:left="360" w:hanging="360"/>
      </w:pPr>
      <w:r>
        <w:rPr>
          <w:rFonts w:ascii="Calibri" w:hAnsi="Calibri"/>
          <w:b/>
          <w:color w:val="525866"/>
          <w:sz w:val="22"/>
        </w:rPr>
        <w:t xml:space="preserve">Jul 23, 2026 — RTX Q2 2026 beat-and-raise: </w:t>
      </w:r>
      <w:r>
        <w:rPr>
          <w:rFonts w:ascii="Calibri" w:hAnsi="Calibri"/>
          <w:color w:val="525866"/>
          <w:sz w:val="22"/>
        </w:rPr>
        <w:t xml:space="preserve">RTX raised FY2026 adjusted sales guidance to $95–96B (from $92.5–93.5B) and EPS to $7.10–7.25 (from $6.70–6.90). Backlog rose 22% YoY to $289B. Raytheon more than doubled YoY output across critical munitions in H1 2026. Strong commercial aerospace aftermarket demand confirmed. </w:t>
      </w:r>
    </w:p>
    <w:p>
      <w:pPr>
        <w:pStyle w:val="ListBullet"/>
        <w:ind w:left="360" w:hanging="360"/>
      </w:pPr>
      <w:r>
        <w:rPr>
          <w:rFonts w:ascii="Calibri" w:hAnsi="Calibri"/>
          <w:b/>
          <w:color w:val="525866"/>
          <w:sz w:val="22"/>
        </w:rPr>
        <w:t xml:space="preserve">Jul 21, 2026 — Northrop Grumman Q2 2026 beat-and-raise: </w:t>
      </w:r>
      <w:r>
        <w:rPr>
          <w:rFonts w:ascii="Calibri" w:hAnsi="Calibri"/>
          <w:color w:val="525866"/>
          <w:sz w:val="22"/>
        </w:rPr>
        <w:t xml:space="preserve">NOC raised FY2026 EPS guidance to $28.60–29.10 (up $1.20) and sales to $43.75–44.25B. Sentinel program (where Textron Systems is a Tier 1 supplier to NOC) saw a $7.6B backlog increase in Q2. NOC expects mid-to-high single digit YoY sales growth in Q3. </w:t>
      </w:r>
    </w:p>
    <w:p>
      <w:pPr>
        <w:pStyle w:val="ListBullet"/>
        <w:ind w:left="360" w:hanging="360"/>
      </w:pPr>
      <w:r>
        <w:rPr>
          <w:rFonts w:ascii="Calibri" w:hAnsi="Calibri"/>
          <w:b/>
          <w:color w:val="525866"/>
          <w:sz w:val="22"/>
        </w:rPr>
        <w:t xml:space="preserve">Jul 20, 2026 — Trump executive order on defense supply chain screening: </w:t>
      </w:r>
      <w:r>
        <w:rPr>
          <w:rFonts w:ascii="Calibri" w:hAnsi="Calibri"/>
          <w:color w:val="525866"/>
          <w:sz w:val="22"/>
        </w:rPr>
        <w:t>President Trump signed an EO requiring defense contractors to map supply chains from raw materials to final products and eliminate foreign supplier vulnerabilities. Implication: potential compliance cost and supply chain complexity for TXT’s Bell and Systems segments, though also a tailwind for domestic defense manufacturing investment.</w:t>
      </w:r>
    </w:p>
    <w:p>
      <w:pPr>
        <w:pStyle w:val="ListBullet"/>
        <w:ind w:left="360" w:hanging="360"/>
      </w:pPr>
      <w:r>
        <w:rPr>
          <w:rFonts w:ascii="Calibri" w:hAnsi="Calibri"/>
          <w:b/>
          <w:color w:val="525866"/>
          <w:sz w:val="22"/>
        </w:rPr>
        <w:t xml:space="preserve">Jul 16, 2026 — GE Aerospace Q2 2026 beat-and-raise: </w:t>
      </w:r>
      <w:r>
        <w:rPr>
          <w:rFonts w:ascii="Calibri" w:hAnsi="Calibri"/>
          <w:color w:val="525866"/>
          <w:sz w:val="22"/>
        </w:rPr>
        <w:t>GE raised FY2026 EPS guidance to $7.65–7.85 (from $7.10–7.40) and FCF guidance to $8.9–9.2B. Nine consecutive quarters of double-digit increases from critical suppliers. Commercial aerospace aftermarket demand described as “resilient.” Positive read-through for Textron Aviation’s aftermarket business and supply chain environment.</w:t>
      </w:r>
    </w:p>
    <w:p>
      <w:pPr>
        <w:pStyle w:val="ListBullet"/>
        <w:ind w:left="360" w:hanging="360"/>
      </w:pPr>
      <w:r>
        <w:rPr>
          <w:rFonts w:ascii="Calibri" w:hAnsi="Calibri"/>
          <w:b/>
          <w:color w:val="525866"/>
          <w:sz w:val="22"/>
        </w:rPr>
        <w:t xml:space="preserve">Jul 13, 2026 — L3Harris secures $955M Golden Dome satellite contract: </w:t>
      </w:r>
      <w:r>
        <w:rPr>
          <w:rFonts w:ascii="Calibri" w:hAnsi="Calibri"/>
          <w:color w:val="525866"/>
          <w:sz w:val="22"/>
        </w:rPr>
        <w:t>L3Harris won a Space Force contract for 18 satellites for the Golden Dome missile defense shield. Confirms accelerating defense spending on advanced systems — positive backdrop for Textron Systems’ unmanned and defense electronics portfolio.</w:t>
      </w:r>
    </w:p>
    <w:p>
      <w:pPr>
        <w:pStyle w:val="ListBullet"/>
        <w:ind w:left="360" w:hanging="360"/>
      </w:pPr>
      <w:r>
        <w:rPr>
          <w:rFonts w:ascii="Calibri" w:hAnsi="Calibri"/>
          <w:b/>
          <w:color w:val="525866"/>
          <w:sz w:val="22"/>
        </w:rPr>
        <w:t xml:space="preserve">Jul 1, 2026 — TXT announces Q2 results date: </w:t>
      </w:r>
      <w:r>
        <w:rPr>
          <w:rFonts w:ascii="Calibri" w:hAnsi="Calibri"/>
          <w:color w:val="525866"/>
          <w:sz w:val="22"/>
        </w:rPr>
        <w:t>Textron confirmed July 28, 2026 as the Q2 earnings release date, with an 8:00 AM ET conference call. No other material disclosures.</w:t>
      </w:r>
    </w:p>
    <w:p>
      <w:pPr>
        <w:pStyle w:val="ListBullet"/>
        <w:ind w:left="360" w:hanging="360"/>
      </w:pPr>
      <w:r>
        <w:rPr>
          <w:rFonts w:ascii="Calibri" w:hAnsi="Calibri"/>
          <w:b/>
          <w:color w:val="525866"/>
          <w:sz w:val="22"/>
        </w:rPr>
        <w:t xml:space="preserve">Jul 2026 — Farnborough International Airshow: </w:t>
      </w:r>
      <w:r>
        <w:rPr>
          <w:rFonts w:ascii="Calibri" w:hAnsi="Calibri"/>
          <w:color w:val="525866"/>
          <w:sz w:val="22"/>
        </w:rPr>
        <w:t>Dominated by defense announcements. BAE Systems revealed a loyal-wingman drone. GE Aerospace announced 1,000+ engine orders with IndiGo Airlines. Boeing CEO confirmed production ramp on 737 MAX and 787. Honeywell Aerospace CEO cited an “unprecedented demand environment” for both commercial and defense. Positive macro backdrop for Textron Aviation’s business jet and turboprop demand.</w:t>
      </w:r>
    </w:p>
    <w:p>
      <w:pPr>
        <w:pStyle w:val="ListBullet"/>
        <w:ind w:left="360" w:hanging="360"/>
      </w:pPr>
      <w:r>
        <w:rPr>
          <w:rFonts w:ascii="Calibri" w:hAnsi="Calibri"/>
          <w:b/>
          <w:color w:val="525866"/>
          <w:sz w:val="22"/>
        </w:rPr>
        <w:t xml:space="preserve">May 1, 2026 — TXT Annual Shareholder Meeting: </w:t>
      </w:r>
      <w:r>
        <w:rPr>
          <w:rFonts w:ascii="Calibri" w:hAnsi="Calibri"/>
          <w:color w:val="525866"/>
          <w:sz w:val="22"/>
        </w:rPr>
        <w:t>Shareholders approved directors, auditors, and executive pay. No material governance changes.</w:t>
      </w:r>
    </w:p>
    <w:p>
      <w:r>
        <w:br w:type="page"/>
      </w:r>
    </w:p>
    <w:p>
      <w:pPr>
        <w:pStyle w:val="Heading2"/>
      </w:pPr>
      <w:r>
        <w:rPr>
          <w:rFonts w:ascii="Calibri" w:hAnsi="Calibri"/>
          <w:b/>
          <w:color w:val="3B4259"/>
          <w:sz w:val="28"/>
        </w:rPr>
        <w:t>7. Peer Commentaries / Read-Throughs (Last 60 Days)</w:t>
      </w:r>
    </w:p>
    <w:p>
      <w:r>
        <w:rPr>
          <w:rFonts w:ascii="Calibri" w:hAnsi="Calibri"/>
          <w:b/>
          <w:color w:val="525866"/>
          <w:sz w:val="22"/>
        </w:rPr>
        <w:t xml:space="preserve">Key Takeaway: </w:t>
      </w:r>
      <w:r>
        <w:rPr>
          <w:rFonts w:ascii="Calibri" w:hAnsi="Calibri"/>
          <w:color w:val="525866"/>
          <w:sz w:val="22"/>
        </w:rPr>
        <w:t>Defense peers reporting Q2 2026 results in the last two weeks have universally beaten and raised guidance, confirming robust defense demand, record backlogs, and improving supply chains. Commercial aerospace peers (GE Aerospace, Honeywell Aerospace) confirm resilient aftermarket demand and improving supplier delivery. These are strong forward-looking read-throughs for TXT’s Bell, Systems, and Aviation segments heading into Q2.</w:t>
      </w:r>
    </w:p>
    <w:p>
      <w:r>
        <w:rPr>
          <w:rFonts w:ascii="Calibri" w:hAnsi="Calibri"/>
          <w:b/>
          <w:i/>
          <w:color w:val="525866"/>
          <w:sz w:val="22"/>
        </w:rPr>
        <w:t xml:space="preserve">Note: </w:t>
      </w:r>
      <w:r>
        <w:rPr>
          <w:rFonts w:ascii="Calibri" w:hAnsi="Calibri"/>
          <w:i/>
          <w:color w:val="525866"/>
          <w:sz w:val="22"/>
        </w:rPr>
        <w:t>Only forward-looking commentary about Q2 2026 or beyond, or commentary made after peers’ own Q2 2026 earnings reports, is included below. Stale commentary about prior-quarter conditions has been excluded.</w:t>
      </w:r>
    </w:p>
    <w:p>
      <w:pPr>
        <w:pStyle w:val="Heading3"/>
      </w:pPr>
      <w:r>
        <w:rPr>
          <w:rFonts w:ascii="Calibri" w:hAnsi="Calibri"/>
          <w:b/>
          <w:color w:val="3B4259"/>
          <w:sz w:val="24"/>
        </w:rPr>
        <w:t>Lockheed Martin (LMT) — Q2 2026 Earnings Call, July 23, 2026</w:t>
      </w:r>
    </w:p>
    <w:p>
      <w:r>
        <w:rPr>
          <w:rFonts w:ascii="Calibri" w:hAnsi="Calibri"/>
          <w:b/>
          <w:color w:val="525866"/>
          <w:sz w:val="22"/>
        </w:rPr>
        <w:t xml:space="preserve">Relevance to TXT: </w:t>
      </w:r>
      <w:r>
        <w:rPr>
          <w:rFonts w:ascii="Calibri" w:hAnsi="Calibri"/>
          <w:color w:val="525866"/>
          <w:sz w:val="22"/>
        </w:rPr>
        <w:t>Bell (helicopter competition / defense demand), Textron Systems (defense electronics, munitions backdrop)</w:t>
      </w:r>
    </w:p>
    <w:p>
      <w:pPr>
        <w:pStyle w:val="ListBullet"/>
        <w:ind w:left="360" w:hanging="360"/>
      </w:pPr>
      <w:r>
        <w:rPr>
          <w:rFonts w:ascii="Calibri" w:hAnsi="Calibri"/>
          <w:b/>
          <w:color w:val="525866"/>
          <w:sz w:val="22"/>
        </w:rPr>
        <w:t xml:space="preserve">Record $230B backlog and raised FY2026 guidance: </w:t>
      </w:r>
      <w:r>
        <w:rPr>
          <w:rFonts w:ascii="Calibri" w:hAnsi="Calibri"/>
          <w:color w:val="525866"/>
          <w:sz w:val="22"/>
        </w:rPr>
        <w:t xml:space="preserve">CEO Jim Taiclet stated “Lockheed Martin’s second quarter results were strong. Our backlog reached a new all-time high, now $230 billion.” The company raised FY2026 EPS guidance to ~$30.30 and revenue to $79.75–81.75B. </w:t>
      </w:r>
      <w:r>
        <w:rPr>
          <w:rFonts w:ascii="Calibri" w:hAnsi="Calibri"/>
          <w:b/>
          <w:color w:val="525866"/>
          <w:sz w:val="22"/>
        </w:rPr>
        <w:t xml:space="preserve">Read-through: </w:t>
      </w:r>
      <w:r>
        <w:rPr>
          <w:rFonts w:ascii="Calibri" w:hAnsi="Calibri"/>
          <w:color w:val="525866"/>
          <w:sz w:val="22"/>
        </w:rPr>
        <w:t>Confirms defense demand is accelerating, not plateauing — positive for Bell’s military revenue and Textron Systems’ program pipeline.</w:t>
      </w:r>
    </w:p>
    <w:p>
      <w:pPr>
        <w:pStyle w:val="ListBullet"/>
        <w:ind w:left="360" w:hanging="360"/>
      </w:pPr>
      <w:r>
        <w:rPr>
          <w:rFonts w:ascii="Calibri" w:hAnsi="Calibri"/>
          <w:b/>
          <w:color w:val="525866"/>
          <w:sz w:val="22"/>
        </w:rPr>
        <w:t xml:space="preserve">Sikorsky production ramp across four platforms: </w:t>
      </w:r>
      <w:r>
        <w:rPr>
          <w:rFonts w:ascii="Calibri" w:hAnsi="Calibri"/>
          <w:color w:val="525866"/>
          <w:sz w:val="22"/>
        </w:rPr>
        <w:t xml:space="preserve">CFO Evan Scott noted “there are four Sikorsky platforms that are all delivering more this year compared to last year. In the case of the CH-53K, we could be talking two-X deliveries this year versus last year and a potentially doubling again next year.” </w:t>
      </w:r>
      <w:r>
        <w:rPr>
          <w:rFonts w:ascii="Calibri" w:hAnsi="Calibri"/>
          <w:b/>
          <w:color w:val="525866"/>
          <w:sz w:val="22"/>
        </w:rPr>
        <w:t xml:space="preserve">Read-through: </w:t>
      </w:r>
      <w:r>
        <w:rPr>
          <w:rFonts w:ascii="Calibri" w:hAnsi="Calibri"/>
          <w:color w:val="525866"/>
          <w:sz w:val="22"/>
        </w:rPr>
        <w:t>Sikorsky is a direct Bell competitor in military rotorcraft. The ramp confirms the Army is absorbing helicopter deliveries at an accelerating pace, which is a positive signal for Bell’s own military delivery cadence and MV-75 program trajectory.</w:t>
      </w:r>
    </w:p>
    <w:p>
      <w:pPr>
        <w:pStyle w:val="ListBullet"/>
        <w:ind w:left="360" w:hanging="360"/>
      </w:pPr>
      <w:r>
        <w:rPr>
          <w:rFonts w:ascii="Calibri" w:hAnsi="Calibri"/>
          <w:b/>
          <w:color w:val="525866"/>
          <w:sz w:val="22"/>
        </w:rPr>
        <w:t xml:space="preserve">Missiles and Fire Control growing 14% YoY in H1 2026: </w:t>
      </w:r>
      <w:r>
        <w:rPr>
          <w:rFonts w:ascii="Calibri" w:hAnsi="Calibri"/>
          <w:color w:val="525866"/>
          <w:sz w:val="22"/>
        </w:rPr>
        <w:t xml:space="preserve">LMT stated MFC sales grew 14% YoY in H1 2026 and the H2 growth rate “will be even faster.” A $35B THAAD contract was awarded and a $1.6B F-35 spare parts award secured. </w:t>
      </w:r>
      <w:r>
        <w:rPr>
          <w:rFonts w:ascii="Calibri" w:hAnsi="Calibri"/>
          <w:b/>
          <w:color w:val="525866"/>
          <w:sz w:val="22"/>
        </w:rPr>
        <w:t xml:space="preserve">Read-through: </w:t>
      </w:r>
      <w:r>
        <w:rPr>
          <w:rFonts w:ascii="Calibri" w:hAnsi="Calibri"/>
          <w:color w:val="525866"/>
          <w:sz w:val="22"/>
        </w:rPr>
        <w:t>Munitions and defense electronics demand is accelerating — positive backdrop for Textron Systems’ unmanned systems and defense electronics programs.</w:t>
      </w:r>
    </w:p>
    <w:p>
      <w:pPr>
        <w:pStyle w:val="ListBullet"/>
        <w:ind w:left="360" w:hanging="360"/>
      </w:pPr>
      <w:r>
        <w:rPr>
          <w:rFonts w:ascii="Calibri" w:hAnsi="Calibri"/>
          <w:b/>
          <w:color w:val="525866"/>
          <w:sz w:val="22"/>
        </w:rPr>
        <w:t xml:space="preserve">GM Defense partnership for high-rate manufacturing: </w:t>
      </w:r>
      <w:r>
        <w:rPr>
          <w:rFonts w:ascii="Calibri" w:hAnsi="Calibri"/>
          <w:color w:val="525866"/>
          <w:sz w:val="22"/>
        </w:rPr>
        <w:t xml:space="preserve">LMT announced a partnership with General Motors Defense to “explore applying the automotive industry’s high-rate manufacturing and supply chain expertise to defense production.” </w:t>
      </w:r>
      <w:r>
        <w:rPr>
          <w:rFonts w:ascii="Calibri" w:hAnsi="Calibri"/>
          <w:b/>
          <w:color w:val="525866"/>
          <w:sz w:val="22"/>
        </w:rPr>
        <w:t xml:space="preserve">Read-through: </w:t>
      </w:r>
      <w:r>
        <w:rPr>
          <w:rFonts w:ascii="Calibri" w:hAnsi="Calibri"/>
          <w:color w:val="525866"/>
          <w:sz w:val="22"/>
        </w:rPr>
        <w:t>Signals the defense industry is actively investing in manufacturing scale-up — relevant context for Bell’s MV-75 LRIP ramp and Textron’s own supply chain investment narrative.</w:t>
      </w:r>
    </w:p>
    <w:p>
      <w:pPr>
        <w:pStyle w:val="Heading3"/>
      </w:pPr>
      <w:r>
        <w:rPr>
          <w:rFonts w:ascii="Calibri" w:hAnsi="Calibri"/>
          <w:b/>
          <w:color w:val="3B4259"/>
          <w:sz w:val="24"/>
        </w:rPr>
        <w:t>RTX Corporation — Q2 2026 Earnings Call, July 23, 2026</w:t>
      </w:r>
    </w:p>
    <w:p>
      <w:r>
        <w:rPr>
          <w:rFonts w:ascii="Calibri" w:hAnsi="Calibri"/>
          <w:b/>
          <w:color w:val="525866"/>
          <w:sz w:val="22"/>
        </w:rPr>
        <w:t xml:space="preserve">Relevance to TXT: </w:t>
      </w:r>
      <w:r>
        <w:rPr>
          <w:rFonts w:ascii="Calibri" w:hAnsi="Calibri"/>
          <w:color w:val="525866"/>
          <w:sz w:val="22"/>
        </w:rPr>
        <w:t>Bell (defense helicopter demand), Textron Aviation (commercial aerospace aftermarket), Textron Systems (defense electronics)</w:t>
      </w:r>
    </w:p>
    <w:p>
      <w:pPr>
        <w:pStyle w:val="ListBullet"/>
        <w:ind w:left="360" w:hanging="360"/>
      </w:pPr>
      <w:r>
        <w:rPr>
          <w:rFonts w:ascii="Calibri" w:hAnsi="Calibri"/>
          <w:b/>
          <w:color w:val="525866"/>
          <w:sz w:val="22"/>
        </w:rPr>
        <w:t xml:space="preserve">Bipartisan support for 25% increase in FY2027 defense budget: </w:t>
      </w:r>
      <w:r>
        <w:rPr>
          <w:rFonts w:ascii="Calibri" w:hAnsi="Calibri"/>
          <w:color w:val="525866"/>
          <w:sz w:val="22"/>
        </w:rPr>
        <w:t xml:space="preserve">RTX CEO noted “bipartisan support for a significant increase in 2027 defense spending. The base budget request of $1.1 trillion represents a roughly 25% increase year over year, along with meaningful increases in funding for RTX priority programs.” </w:t>
      </w:r>
      <w:r>
        <w:rPr>
          <w:rFonts w:ascii="Calibri" w:hAnsi="Calibri"/>
          <w:b/>
          <w:color w:val="525866"/>
          <w:sz w:val="22"/>
        </w:rPr>
        <w:t xml:space="preserve">Read-through: </w:t>
      </w:r>
      <w:r>
        <w:rPr>
          <w:rFonts w:ascii="Calibri" w:hAnsi="Calibri"/>
          <w:color w:val="525866"/>
          <w:sz w:val="22"/>
        </w:rPr>
        <w:t>A $1.1T FY2027 defense budget is the most important macro tailwind for Bell’s MV-75 FYDP funding ($2.3B in FY27 scaling to $3.8B in FY31) and Textron Systems’ program pipeline.</w:t>
      </w:r>
    </w:p>
    <w:p>
      <w:pPr>
        <w:pStyle w:val="ListBullet"/>
        <w:ind w:left="360" w:hanging="360"/>
      </w:pPr>
      <w:r>
        <w:rPr>
          <w:rFonts w:ascii="Calibri" w:hAnsi="Calibri"/>
          <w:b/>
          <w:color w:val="525866"/>
          <w:sz w:val="22"/>
        </w:rPr>
        <w:t xml:space="preserve">Raytheon more than doubled munitions output in H1 2026: </w:t>
      </w:r>
      <w:r>
        <w:rPr>
          <w:rFonts w:ascii="Calibri" w:hAnsi="Calibri"/>
          <w:color w:val="525866"/>
          <w:sz w:val="22"/>
        </w:rPr>
        <w:t xml:space="preserve">RTX stated “we’ve more than doubled year-over-year output across our critical munitions through the first half of the year.” International awards exceeded $10B in H1, more than double YoY, with over $7B from European customers. </w:t>
      </w:r>
      <w:r>
        <w:rPr>
          <w:rFonts w:ascii="Calibri" w:hAnsi="Calibri"/>
          <w:b/>
          <w:color w:val="525866"/>
          <w:sz w:val="22"/>
        </w:rPr>
        <w:t xml:space="preserve">Read-through: </w:t>
      </w:r>
      <w:r>
        <w:rPr>
          <w:rFonts w:ascii="Calibri" w:hAnsi="Calibri"/>
          <w:color w:val="525866"/>
          <w:sz w:val="22"/>
        </w:rPr>
        <w:t>Confirms the defense industrial base is successfully ramping production — positive for Textron Systems’ ability to execute on its own program ramps.</w:t>
      </w:r>
    </w:p>
    <w:p>
      <w:pPr>
        <w:pStyle w:val="ListBullet"/>
        <w:ind w:left="360" w:hanging="360"/>
      </w:pPr>
      <w:r>
        <w:rPr>
          <w:rFonts w:ascii="Calibri" w:hAnsi="Calibri"/>
          <w:b/>
          <w:color w:val="525866"/>
          <w:sz w:val="22"/>
        </w:rPr>
        <w:t xml:space="preserve">Commercial aerospace aftermarket remains resilient: </w:t>
      </w:r>
      <w:r>
        <w:rPr>
          <w:rFonts w:ascii="Calibri" w:hAnsi="Calibri"/>
          <w:color w:val="525866"/>
          <w:sz w:val="22"/>
        </w:rPr>
        <w:t xml:space="preserve">RTX stated “commercial aerospace aftermarket continues to be strong and passenger air travel remains resilient.” Global RPKs expected to grow in all regions outside the Middle East. Air framers citing strong demand with further growth expected in H2 2026. </w:t>
      </w:r>
      <w:r>
        <w:rPr>
          <w:rFonts w:ascii="Calibri" w:hAnsi="Calibri"/>
          <w:b/>
          <w:color w:val="525866"/>
          <w:sz w:val="22"/>
        </w:rPr>
        <w:t xml:space="preserve">Read-through: </w:t>
      </w:r>
      <w:r>
        <w:rPr>
          <w:rFonts w:ascii="Calibri" w:hAnsi="Calibri"/>
          <w:color w:val="525866"/>
          <w:sz w:val="22"/>
        </w:rPr>
        <w:t>Positive for Textron Aviation’s aftermarket parts and service revenue, which grew 10% YoY in Q1 2026 to $531M and is a key margin driver.</w:t>
      </w:r>
    </w:p>
    <w:p>
      <w:pPr>
        <w:pStyle w:val="ListBullet"/>
        <w:ind w:left="360" w:hanging="360"/>
      </w:pPr>
      <w:r>
        <w:rPr>
          <w:rFonts w:ascii="Calibri" w:hAnsi="Calibri"/>
          <w:b/>
          <w:color w:val="525866"/>
          <w:sz w:val="22"/>
        </w:rPr>
        <w:t xml:space="preserve">Supply chain on mature programs performing consistently: </w:t>
      </w:r>
      <w:r>
        <w:rPr>
          <w:rFonts w:ascii="Calibri" w:hAnsi="Calibri"/>
          <w:color w:val="525866"/>
          <w:sz w:val="22"/>
        </w:rPr>
        <w:t xml:space="preserve">RTX noted “we’ve seen at least over two years of quarter-over-quarter material receipts going up” and supply chain performance on mature programs has been “consistently strong.” </w:t>
      </w:r>
      <w:r>
        <w:rPr>
          <w:rFonts w:ascii="Calibri" w:hAnsi="Calibri"/>
          <w:b/>
          <w:color w:val="525866"/>
          <w:sz w:val="22"/>
        </w:rPr>
        <w:t xml:space="preserve">Read-through: </w:t>
      </w:r>
      <w:r>
        <w:rPr>
          <w:rFonts w:ascii="Calibri" w:hAnsi="Calibri"/>
          <w:color w:val="525866"/>
          <w:sz w:val="22"/>
        </w:rPr>
        <w:t>Supports Textron Aviation management’s Q1 commentary that “overall trends, we are starting to see improvement of on-time delivery from suppliers” — the supply chain environment appears to be genuinely improving across the sector.</w:t>
      </w:r>
    </w:p>
    <w:p>
      <w:pPr>
        <w:pStyle w:val="Heading3"/>
      </w:pPr>
      <w:r>
        <w:rPr>
          <w:rFonts w:ascii="Calibri" w:hAnsi="Calibri"/>
          <w:b/>
          <w:color w:val="3B4259"/>
          <w:sz w:val="24"/>
        </w:rPr>
        <w:t>Northrop Grumman (NOC) — Q2 2026 Earnings Call, July 21, 2026</w:t>
      </w:r>
    </w:p>
    <w:p>
      <w:r>
        <w:rPr>
          <w:rFonts w:ascii="Calibri" w:hAnsi="Calibri"/>
          <w:b/>
          <w:color w:val="525866"/>
          <w:sz w:val="22"/>
        </w:rPr>
        <w:t xml:space="preserve">Relevance to TXT: </w:t>
      </w:r>
      <w:r>
        <w:rPr>
          <w:rFonts w:ascii="Calibri" w:hAnsi="Calibri"/>
          <w:color w:val="525866"/>
          <w:sz w:val="22"/>
        </w:rPr>
        <w:t>Textron Systems (Sentinel Tier 1 supplier), Bell (defense budget / Army spending)</w:t>
      </w:r>
    </w:p>
    <w:p>
      <w:pPr>
        <w:pStyle w:val="ListBullet"/>
        <w:ind w:left="360" w:hanging="360"/>
      </w:pPr>
      <w:r>
        <w:rPr>
          <w:rFonts w:ascii="Calibri" w:hAnsi="Calibri"/>
          <w:b/>
          <w:color w:val="525866"/>
          <w:sz w:val="22"/>
        </w:rPr>
        <w:t xml:space="preserve">Sentinel program backlog grew $7.6B in Q2 2026: </w:t>
      </w:r>
      <w:r>
        <w:rPr>
          <w:rFonts w:ascii="Calibri" w:hAnsi="Calibri"/>
          <w:color w:val="525866"/>
          <w:sz w:val="22"/>
        </w:rPr>
        <w:t xml:space="preserve">NOC reported a “$7.6 billion increase in program backlog during the second quarter” for Sentinel, with solid rocket motors for the first five flight tests already in production and first flight of the integrated missile expected in 2027. </w:t>
      </w:r>
      <w:r>
        <w:rPr>
          <w:rFonts w:ascii="Calibri" w:hAnsi="Calibri"/>
          <w:b/>
          <w:color w:val="525866"/>
          <w:sz w:val="22"/>
        </w:rPr>
        <w:t xml:space="preserve">Read-through: </w:t>
      </w:r>
      <w:r>
        <w:rPr>
          <w:rFonts w:ascii="Calibri" w:hAnsi="Calibri"/>
          <w:color w:val="525866"/>
          <w:sz w:val="22"/>
        </w:rPr>
        <w:t>Textron Systems is a Tier 1 supplier to NOC on the Sentinel program. The accelerating backlog and production ramp are a direct positive for Textron Systems’ revenue trajectory, which management cited as one of the key growth drivers for the Systems segment.</w:t>
      </w:r>
    </w:p>
    <w:p>
      <w:pPr>
        <w:pStyle w:val="ListBullet"/>
        <w:ind w:left="360" w:hanging="360"/>
      </w:pPr>
      <w:r>
        <w:rPr>
          <w:rFonts w:ascii="Calibri" w:hAnsi="Calibri"/>
          <w:b/>
          <w:color w:val="525866"/>
          <w:sz w:val="22"/>
        </w:rPr>
        <w:t xml:space="preserve">Army supplemental request of $67B and $350B reconciliation package: </w:t>
      </w:r>
      <w:r>
        <w:rPr>
          <w:rFonts w:ascii="Calibri" w:hAnsi="Calibri"/>
          <w:color w:val="525866"/>
          <w:sz w:val="22"/>
        </w:rPr>
        <w:t xml:space="preserve">NOC noted the administration submitted “a supplemental request for $67 billion for the Department of War” and Congress is considering a “$350 billion reconciliation package” to expand and modernize military capabilities. </w:t>
      </w:r>
      <w:r>
        <w:rPr>
          <w:rFonts w:ascii="Calibri" w:hAnsi="Calibri"/>
          <w:b/>
          <w:color w:val="525866"/>
          <w:sz w:val="22"/>
        </w:rPr>
        <w:t xml:space="preserve">Read-through: </w:t>
      </w:r>
      <w:r>
        <w:rPr>
          <w:rFonts w:ascii="Calibri" w:hAnsi="Calibri"/>
          <w:color w:val="525866"/>
          <w:sz w:val="22"/>
        </w:rPr>
        <w:t>The supplemental request is directly relevant to the MV-75 GFY26 funding gap that TXT management flagged on the Q1 call. If the Army secures supplemental funding from this package, it would be a significant positive catalyst for Bell’s Q2 and H2 2026 revenue.</w:t>
      </w:r>
    </w:p>
    <w:p>
      <w:pPr>
        <w:pStyle w:val="ListBullet"/>
        <w:ind w:left="360" w:hanging="360"/>
      </w:pPr>
      <w:r>
        <w:rPr>
          <w:rFonts w:ascii="Calibri" w:hAnsi="Calibri"/>
          <w:b/>
          <w:color w:val="525866"/>
          <w:sz w:val="22"/>
        </w:rPr>
        <w:t xml:space="preserve">Ten multiyear missile agreements with up to $10B opportunity: </w:t>
      </w:r>
      <w:r>
        <w:rPr>
          <w:rFonts w:ascii="Calibri" w:hAnsi="Calibri"/>
          <w:color w:val="525866"/>
          <w:sz w:val="22"/>
        </w:rPr>
        <w:t xml:space="preserve">NOC stated it has “ten multiyear agreements for missile acceleration in work across the portfolio, with up to $10 billion of sales opportunity over the next seven years.” The FMS process has seen “real improvement” with cases “being approved at a much more rapid rate.” </w:t>
      </w:r>
      <w:r>
        <w:rPr>
          <w:rFonts w:ascii="Calibri" w:hAnsi="Calibri"/>
          <w:b/>
          <w:color w:val="525866"/>
          <w:sz w:val="22"/>
        </w:rPr>
        <w:t xml:space="preserve">Read-through: </w:t>
      </w:r>
      <w:r>
        <w:rPr>
          <w:rFonts w:ascii="Calibri" w:hAnsi="Calibri"/>
          <w:color w:val="525866"/>
          <w:sz w:val="22"/>
        </w:rPr>
        <w:t>Confirms the defense procurement environment is accelerating broadly — positive for Textron Systems’ ARV preproduction contract and LASSO prototype agreement pipeline.</w:t>
      </w:r>
    </w:p>
    <w:p>
      <w:pPr>
        <w:pStyle w:val="ListBullet"/>
        <w:ind w:left="360" w:hanging="360"/>
      </w:pPr>
      <w:r>
        <w:rPr>
          <w:rFonts w:ascii="Calibri" w:hAnsi="Calibri"/>
          <w:b/>
          <w:color w:val="525866"/>
          <w:sz w:val="22"/>
        </w:rPr>
        <w:t xml:space="preserve">Confident in accelerating H2 2026 sales growth: </w:t>
      </w:r>
      <w:r>
        <w:rPr>
          <w:rFonts w:ascii="Calibri" w:hAnsi="Calibri"/>
          <w:color w:val="525866"/>
          <w:sz w:val="22"/>
        </w:rPr>
        <w:t xml:space="preserve">NOC management stated “we are confident will improve in the second half” and expects “mid-to-high single digit year-over-year sales growth in Q3.” Defense Systems revenues expected to “step up more than $700 million” in H2, driven by higher ammunition sales and Sentinel/IBCS growth. </w:t>
      </w:r>
      <w:r>
        <w:rPr>
          <w:rFonts w:ascii="Calibri" w:hAnsi="Calibri"/>
          <w:b/>
          <w:color w:val="525866"/>
          <w:sz w:val="22"/>
        </w:rPr>
        <w:t xml:space="preserve">Read-through: </w:t>
      </w:r>
      <w:r>
        <w:rPr>
          <w:rFonts w:ascii="Calibri" w:hAnsi="Calibri"/>
          <w:color w:val="525866"/>
          <w:sz w:val="22"/>
        </w:rPr>
        <w:t>The H2 acceleration narrative at NOC mirrors TXT management’s own guidance for sequential improvement in Aviation margins and Bell commercial volume normalization through Q4.</w:t>
      </w:r>
    </w:p>
    <w:p>
      <w:pPr>
        <w:pStyle w:val="Heading3"/>
      </w:pPr>
      <w:r>
        <w:rPr>
          <w:rFonts w:ascii="Calibri" w:hAnsi="Calibri"/>
          <w:b/>
          <w:color w:val="3B4259"/>
          <w:sz w:val="24"/>
        </w:rPr>
        <w:t>GE Aerospace — Q2 2026 Earnings Call, July 16, 2026</w:t>
      </w:r>
    </w:p>
    <w:p>
      <w:r>
        <w:rPr>
          <w:rFonts w:ascii="Calibri" w:hAnsi="Calibri"/>
          <w:b/>
          <w:color w:val="525866"/>
          <w:sz w:val="22"/>
        </w:rPr>
        <w:t xml:space="preserve">Relevance to TXT: </w:t>
      </w:r>
      <w:r>
        <w:rPr>
          <w:rFonts w:ascii="Calibri" w:hAnsi="Calibri"/>
          <w:color w:val="525866"/>
          <w:sz w:val="22"/>
        </w:rPr>
        <w:t>Textron Aviation (commercial aerospace supply chain, aftermarket demand, business jet market backdrop)</w:t>
      </w:r>
    </w:p>
    <w:p>
      <w:pPr>
        <w:pStyle w:val="ListBullet"/>
        <w:ind w:left="360" w:hanging="360"/>
      </w:pPr>
      <w:r>
        <w:rPr>
          <w:rFonts w:ascii="Calibri" w:hAnsi="Calibri"/>
          <w:b/>
          <w:color w:val="525866"/>
          <w:sz w:val="22"/>
        </w:rPr>
        <w:t xml:space="preserve">Nine consecutive quarters of double-digit supplier increases: </w:t>
      </w:r>
      <w:r>
        <w:rPr>
          <w:rFonts w:ascii="Calibri" w:hAnsi="Calibri"/>
          <w:color w:val="525866"/>
          <w:sz w:val="22"/>
        </w:rPr>
        <w:t xml:space="preserve">GE Aerospace CEO Larry Culp stated the company has seen “nine consecutive quarters with double-digit increases from our critical suppliers” and is “expanding capacity to meet growing aftermarket demand.” MRO lead turnaround times are now “around 100 days, down over two weeks year over year.” </w:t>
      </w:r>
      <w:r>
        <w:rPr>
          <w:rFonts w:ascii="Calibri" w:hAnsi="Calibri"/>
          <w:b/>
          <w:color w:val="525866"/>
          <w:sz w:val="22"/>
        </w:rPr>
        <w:t xml:space="preserve">Read-through: </w:t>
      </w:r>
      <w:r>
        <w:rPr>
          <w:rFonts w:ascii="Calibri" w:hAnsi="Calibri"/>
          <w:color w:val="525866"/>
          <w:sz w:val="22"/>
        </w:rPr>
        <w:t>The sustained improvement in aerospace supply chain performance is a positive read-through for Textron Aviation’s own supply chain recovery narrative. Management’s Q1 commentary about “improvement of on-time delivery from suppliers” appears consistent with the broader industry trend.</w:t>
      </w:r>
    </w:p>
    <w:p>
      <w:pPr>
        <w:pStyle w:val="ListBullet"/>
        <w:ind w:left="360" w:hanging="360"/>
      </w:pPr>
      <w:r>
        <w:rPr>
          <w:rFonts w:ascii="Calibri" w:hAnsi="Calibri"/>
          <w:b/>
          <w:color w:val="525866"/>
          <w:sz w:val="22"/>
        </w:rPr>
        <w:t xml:space="preserve">Commercial aerospace aftermarket demand “resilient” with strong H2 visibility: </w:t>
      </w:r>
      <w:r>
        <w:rPr>
          <w:rFonts w:ascii="Calibri" w:hAnsi="Calibri"/>
          <w:color w:val="525866"/>
          <w:sz w:val="22"/>
        </w:rPr>
        <w:t xml:space="preserve">GE stated “aftermarket demand has been resilient” and the company is entering Q3 with “more than 95% of spare parts revenue in backlog.” Commercial services now expected to grow “low 20s” for FY2026, up from “mid-teens.” </w:t>
      </w:r>
      <w:r>
        <w:rPr>
          <w:rFonts w:ascii="Calibri" w:hAnsi="Calibri"/>
          <w:b/>
          <w:color w:val="525866"/>
          <w:sz w:val="22"/>
        </w:rPr>
        <w:t xml:space="preserve">Read-through: </w:t>
      </w:r>
      <w:r>
        <w:rPr>
          <w:rFonts w:ascii="Calibri" w:hAnsi="Calibri"/>
          <w:color w:val="525866"/>
          <w:sz w:val="22"/>
        </w:rPr>
        <w:t>Strong commercial aerospace aftermarket demand is a positive for Textron Aviation’s aftermarket parts and service revenue, which is a key margin driver and grew 10% YoY in Q1 2026.</w:t>
      </w:r>
    </w:p>
    <w:p>
      <w:pPr>
        <w:pStyle w:val="ListBullet"/>
        <w:ind w:left="360" w:hanging="360"/>
      </w:pPr>
      <w:r>
        <w:rPr>
          <w:rFonts w:ascii="Calibri" w:hAnsi="Calibri"/>
          <w:b/>
          <w:color w:val="525866"/>
          <w:sz w:val="22"/>
        </w:rPr>
        <w:t xml:space="preserve">Air framers citing strong demand with further H2 growth expected: </w:t>
      </w:r>
      <w:r>
        <w:rPr>
          <w:rFonts w:ascii="Calibri" w:hAnsi="Calibri"/>
          <w:color w:val="525866"/>
          <w:sz w:val="22"/>
        </w:rPr>
        <w:t xml:space="preserve">GE noted “air framers also continue to cite strong demand, with further growth expected in the second half of the year, driving the need for our OE products across narrowbody, widebody, and business jet platforms.” </w:t>
      </w:r>
      <w:r>
        <w:rPr>
          <w:rFonts w:ascii="Calibri" w:hAnsi="Calibri"/>
          <w:b/>
          <w:color w:val="525866"/>
          <w:sz w:val="22"/>
        </w:rPr>
        <w:t xml:space="preserve">Read-through: </w:t>
      </w:r>
      <w:r>
        <w:rPr>
          <w:rFonts w:ascii="Calibri" w:hAnsi="Calibri"/>
          <w:color w:val="525866"/>
          <w:sz w:val="22"/>
        </w:rPr>
        <w:t>The explicit mention of business jet platforms is directly relevant to Textron Aviation’s Citation and King Air product lines. Strong OEM demand signals support Textron Aviation’s delivery ramp guidance.</w:t>
      </w:r>
    </w:p>
    <w:p>
      <w:pPr>
        <w:pStyle w:val="Heading3"/>
      </w:pPr>
      <w:r>
        <w:rPr>
          <w:rFonts w:ascii="Calibri" w:hAnsi="Calibri"/>
          <w:b/>
          <w:color w:val="3B4259"/>
          <w:sz w:val="24"/>
        </w:rPr>
        <w:t>Honeywell Aerospace — Commentary, July 20–23, 2026</w:t>
      </w:r>
    </w:p>
    <w:p>
      <w:r>
        <w:rPr>
          <w:rFonts w:ascii="Calibri" w:hAnsi="Calibri"/>
          <w:b/>
          <w:color w:val="525866"/>
          <w:sz w:val="22"/>
        </w:rPr>
        <w:t xml:space="preserve">Relevance to TXT: </w:t>
      </w:r>
      <w:r>
        <w:rPr>
          <w:rFonts w:ascii="Calibri" w:hAnsi="Calibri"/>
          <w:color w:val="525866"/>
          <w:sz w:val="22"/>
        </w:rPr>
        <w:t>Textron Aviation (avionics, aftermarket), Bell (defense helicopter systems)</w:t>
      </w:r>
    </w:p>
    <w:p>
      <w:pPr>
        <w:pStyle w:val="ListBullet"/>
        <w:ind w:left="360" w:hanging="360"/>
      </w:pPr>
      <w:r>
        <w:rPr>
          <w:rFonts w:ascii="Calibri" w:hAnsi="Calibri"/>
          <w:b/>
          <w:color w:val="525866"/>
          <w:sz w:val="22"/>
        </w:rPr>
        <w:t xml:space="preserve">CEO cites “unprecedented demand environment” for commercial and defense: </w:t>
      </w:r>
      <w:r>
        <w:rPr>
          <w:rFonts w:ascii="Calibri" w:hAnsi="Calibri"/>
          <w:color w:val="525866"/>
          <w:sz w:val="22"/>
        </w:rPr>
        <w:t xml:space="preserve">Honeywell Aerospace CEO Jim Currier told CNBC the company is operating in an “unprecedented demand environment” for both its commercial and defense businesses. Honeywell Aerospace won a major avionics deal with IndiGo Airlines for 810 Airbus A320neo-family aircraft. </w:t>
      </w:r>
      <w:r>
        <w:rPr>
          <w:rFonts w:ascii="Calibri" w:hAnsi="Calibri"/>
          <w:b/>
          <w:color w:val="525866"/>
          <w:sz w:val="22"/>
        </w:rPr>
        <w:t xml:space="preserve">Read-through: </w:t>
      </w:r>
      <w:r>
        <w:rPr>
          <w:rFonts w:ascii="Calibri" w:hAnsi="Calibri"/>
          <w:color w:val="525866"/>
          <w:sz w:val="22"/>
        </w:rPr>
        <w:t>Honeywell Aerospace is a key avionics and systems supplier to Textron Aviation’s Citation and King Air product lines. The “unprecedented demand” characterization supports Textron Aviation’s strong Q1 bookings narrative (best Q1 bookings in four years).</w:t>
      </w:r>
    </w:p>
    <w:p>
      <w:pPr>
        <w:pStyle w:val="ListBullet"/>
        <w:ind w:left="360" w:hanging="360"/>
      </w:pPr>
      <w:r>
        <w:rPr>
          <w:rFonts w:ascii="Calibri" w:hAnsi="Calibri"/>
          <w:b/>
          <w:color w:val="525866"/>
          <w:sz w:val="22"/>
        </w:rPr>
        <w:t xml:space="preserve">Honeywell Technologies (HON) Q2 2026 beat-and-raise: </w:t>
      </w:r>
      <w:r>
        <w:rPr>
          <w:rFonts w:ascii="Calibri" w:hAnsi="Calibri"/>
          <w:color w:val="525866"/>
          <w:sz w:val="22"/>
        </w:rPr>
        <w:t xml:space="preserve">HON reported adjusted Q2 EPS of $1.95 vs. $1.82 consensus, with orders rising 16% YoY. Raised FY2026 EPS guidance to ~$8.20 from prior guidance. Building automation sales grew 9%, industrial automation grew 4%. </w:t>
      </w:r>
      <w:r>
        <w:rPr>
          <w:rFonts w:ascii="Calibri" w:hAnsi="Calibri"/>
          <w:b/>
          <w:color w:val="525866"/>
          <w:sz w:val="22"/>
        </w:rPr>
        <w:t xml:space="preserve">Read-through: </w:t>
      </w:r>
      <w:r>
        <w:rPr>
          <w:rFonts w:ascii="Calibri" w:hAnsi="Calibri"/>
          <w:color w:val="525866"/>
          <w:sz w:val="22"/>
        </w:rPr>
        <w:t>While HON’s core business is now automation (post-Aerospace separation), the strong orders growth and raised guidance confirm healthy industrial end-market demand — a positive backdrop for Textron’s Industrial segment (Kautex, Specialized Vehicles) ahead of the separation process.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One notable open-market buy by a director (Thomas Kennedy, ~$1M) shortly after the Q1 earnings print is a modestly positive signal. The single open-market sale by director Kerry Clark is small and appears routine. No clustered selling or unusual activity — insider activity is not a meaningful signal in either direction heading into Q2.</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 (Approx.)</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Thomas A. Kennedy</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~$1.0M (10,300 shares @ ~$97)</w:t>
            </w:r>
          </w:p>
        </w:tc>
        <w:tc>
          <w:tcPr>
            <w:tcW w:type="dxa" w:w="1440"/>
          </w:tcPr>
          <w:p>
            <w:r>
              <w:rPr>
                <w:rFonts w:ascii="Calibri" w:hAnsi="Calibri"/>
                <w:sz w:val="22"/>
              </w:rPr>
              <w:t>May 1, 2026</w:t>
            </w:r>
          </w:p>
        </w:tc>
        <w:tc>
          <w:tcPr>
            <w:tcW w:type="dxa" w:w="1440"/>
          </w:tcPr>
          <w:p>
            <w:r>
              <w:rPr>
                <w:rFonts w:ascii="Calibri" w:hAnsi="Calibri"/>
                <w:sz w:val="22"/>
              </w:rPr>
              <w:t>Discretionary purchase; day after Q1 earnings beat. Constructive signal — director buying at post-earnings price.</w:t>
            </w:r>
          </w:p>
        </w:tc>
      </w:tr>
      <w:tr>
        <w:tc>
          <w:tcPr>
            <w:tcW w:type="dxa" w:w="1440"/>
          </w:tcPr>
          <w:p>
            <w:r>
              <w:rPr>
                <w:rFonts w:ascii="Calibri" w:hAnsi="Calibri"/>
                <w:sz w:val="22"/>
              </w:rPr>
              <w:t>R. Kerry Clark</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~$240K (2,517 shares @ ~$95)</w:t>
            </w:r>
          </w:p>
        </w:tc>
        <w:tc>
          <w:tcPr>
            <w:tcW w:type="dxa" w:w="1440"/>
          </w:tcPr>
          <w:p>
            <w:r>
              <w:rPr>
                <w:rFonts w:ascii="Calibri" w:hAnsi="Calibri"/>
                <w:sz w:val="22"/>
              </w:rPr>
              <w:t>May 6, 2026</w:t>
            </w:r>
          </w:p>
        </w:tc>
        <w:tc>
          <w:tcPr>
            <w:tcW w:type="dxa" w:w="1440"/>
          </w:tcPr>
          <w:p>
            <w:r>
              <w:rPr>
                <w:rFonts w:ascii="Calibri" w:hAnsi="Calibri"/>
                <w:sz w:val="22"/>
              </w:rPr>
              <w:t>Discretionary sale; small relative to holdings (8,611 shares remaining). Routine in size; not flagged as 10b5-1 plan.</w:t>
            </w:r>
          </w:p>
        </w:tc>
      </w:tr>
    </w:tbl>
    <w:p>
      <w:r>
        <w:rPr>
          <w:rFonts w:ascii="Calibri" w:hAnsi="Calibri"/>
          <w:i/>
          <w:color w:val="525866"/>
          <w:sz w:val="22"/>
        </w:rPr>
        <w:t>Source: SEC Form 4 filings. Only open-market buys (code P) and open-market sells (code S) are included. No 10b5-1 plan initiations were identified for TXT in the period. No executive-level (CEO, CFO, COO) transactions were filed in the window since the Q1 earnings date.</w:t>
      </w:r>
    </w:p>
    <w:p>
      <w:r>
        <w:rPr>
          <w:rFonts w:ascii="Calibri" w:hAnsi="Calibri"/>
          <w:color w:val="525866"/>
          <w:sz w:val="22"/>
        </w:rPr>
        <w:t>The director buy by Thomas Kennedy (former Raytheon CEO) on May 1 — the day after the Q1 beat and Industrial separation announcement — is the most notable transaction. Purchasing ~$1M of stock at the post-earnings price suggests conviction in the strategic direction and valuation. The Clark sale is small and does not appear to be part of a pre-planned program. No executive-level selling was disclosed, which is a neutral-to-positive signal heading into Q2.</w:t>
      </w:r>
    </w:p>
    <w:p>
      <w:r>
        <w:br w:type="page"/>
      </w:r>
    </w:p>
    <w:p>
      <w:pPr>
        <w:pStyle w:val="Heading2"/>
      </w:pPr>
      <w:r>
        <w:rPr>
          <w:rFonts w:ascii="Calibri" w:hAnsi="Calibri"/>
          <w:b/>
          <w:color w:val="3B4259"/>
          <w:sz w:val="28"/>
        </w:rPr>
        <w:t>Appendix: Key Valuation Context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Current (NTM)</w:t>
            </w:r>
          </w:p>
        </w:tc>
        <w:tc>
          <w:tcPr>
            <w:tcW w:type="dxa" w:w="1728"/>
            <w:shd w:val="clear" w:color="auto" w:fill="3B4259"/>
          </w:tcPr>
          <w:p>
            <w:r>
              <w:rPr>
                <w:rFonts w:ascii="Calibri" w:hAnsi="Calibri"/>
                <w:b/>
                <w:color w:val="FFFFFF"/>
                <w:sz w:val="22"/>
              </w:rPr>
              <w:t>3 Months Ago</w:t>
            </w:r>
          </w:p>
        </w:tc>
        <w:tc>
          <w:tcPr>
            <w:tcW w:type="dxa" w:w="1728"/>
            <w:shd w:val="clear" w:color="auto" w:fill="3B4259"/>
          </w:tcPr>
          <w:p>
            <w:r>
              <w:rPr>
                <w:rFonts w:ascii="Calibri" w:hAnsi="Calibri"/>
                <w:b/>
                <w:color w:val="FFFFFF"/>
                <w:sz w:val="22"/>
              </w:rPr>
              <w:t>12 Months Ago</w:t>
            </w:r>
          </w:p>
        </w:tc>
        <w:tc>
          <w:tcPr>
            <w:tcW w:type="dxa" w:w="1728"/>
            <w:shd w:val="clear" w:color="auto" w:fill="3B4259"/>
          </w:tcPr>
          <w:p>
            <w:r>
              <w:rPr>
                <w:rFonts w:ascii="Calibri" w:hAnsi="Calibri"/>
                <w:b/>
                <w:color w:val="FFFFFF"/>
                <w:sz w:val="22"/>
              </w:rPr>
              <w:t>Commentary</w:t>
            </w:r>
          </w:p>
        </w:tc>
      </w:tr>
      <w:tr>
        <w:tc>
          <w:tcPr>
            <w:tcW w:type="dxa" w:w="1728"/>
          </w:tcPr>
          <w:p>
            <w:r>
              <w:rPr>
                <w:rFonts w:ascii="Calibri" w:hAnsi="Calibri"/>
                <w:sz w:val="22"/>
              </w:rPr>
              <w:t>EV / EBITDA</w:t>
            </w:r>
          </w:p>
        </w:tc>
        <w:tc>
          <w:tcPr>
            <w:tcW w:type="dxa" w:w="1728"/>
          </w:tcPr>
          <w:p>
            <w:r>
              <w:rPr>
                <w:rFonts w:ascii="Calibri" w:hAnsi="Calibri"/>
                <w:sz w:val="22"/>
              </w:rPr>
              <w:t>10.35x</w:t>
            </w:r>
          </w:p>
        </w:tc>
        <w:tc>
          <w:tcPr>
            <w:tcW w:type="dxa" w:w="1728"/>
          </w:tcPr>
          <w:p>
            <w:r>
              <w:rPr>
                <w:rFonts w:ascii="Calibri" w:hAnsi="Calibri"/>
                <w:sz w:val="22"/>
              </w:rPr>
              <w:t>9.81x</w:t>
            </w:r>
          </w:p>
        </w:tc>
        <w:tc>
          <w:tcPr>
            <w:tcW w:type="dxa" w:w="1728"/>
          </w:tcPr>
          <w:p>
            <w:r>
              <w:rPr>
                <w:rFonts w:ascii="Calibri" w:hAnsi="Calibri"/>
                <w:sz w:val="22"/>
              </w:rPr>
              <w:t>10.49x</w:t>
            </w:r>
          </w:p>
        </w:tc>
        <w:tc>
          <w:tcPr>
            <w:tcW w:type="dxa" w:w="1728"/>
          </w:tcPr>
          <w:p>
            <w:r>
              <w:rPr>
                <w:rFonts w:ascii="Calibri" w:hAnsi="Calibri"/>
                <w:sz w:val="22"/>
              </w:rPr>
              <w:t>+5.5% multiple expansion over 3M; discount to pure-play defense peers</w:t>
            </w:r>
          </w:p>
        </w:tc>
      </w:tr>
      <w:tr>
        <w:tc>
          <w:tcPr>
            <w:tcW w:type="dxa" w:w="1728"/>
          </w:tcPr>
          <w:p>
            <w:r>
              <w:rPr>
                <w:rFonts w:ascii="Calibri" w:hAnsi="Calibri"/>
                <w:sz w:val="22"/>
              </w:rPr>
              <w:t>P / E (NTM)</w:t>
            </w:r>
          </w:p>
        </w:tc>
        <w:tc>
          <w:tcPr>
            <w:tcW w:type="dxa" w:w="1728"/>
          </w:tcPr>
          <w:p>
            <w:r>
              <w:rPr>
                <w:rFonts w:ascii="Calibri" w:hAnsi="Calibri"/>
                <w:sz w:val="22"/>
              </w:rPr>
              <w:t>15.99x</w:t>
            </w:r>
          </w:p>
        </w:tc>
        <w:tc>
          <w:tcPr>
            <w:tcW w:type="dxa" w:w="1728"/>
          </w:tcPr>
          <w:p>
            <w:r>
              <w:rPr>
                <w:rFonts w:ascii="Calibri" w:hAnsi="Calibri"/>
                <w:sz w:val="22"/>
              </w:rPr>
              <w:t>15.55x</w:t>
            </w:r>
          </w:p>
        </w:tc>
        <w:tc>
          <w:tcPr>
            <w:tcW w:type="dxa" w:w="1728"/>
          </w:tcPr>
          <w:p>
            <w:r>
              <w:rPr>
                <w:rFonts w:ascii="Calibri" w:hAnsi="Calibri"/>
                <w:sz w:val="22"/>
              </w:rPr>
              <w:t>15.08x</w:t>
            </w:r>
          </w:p>
        </w:tc>
        <w:tc>
          <w:tcPr>
            <w:tcW w:type="dxa" w:w="1728"/>
          </w:tcPr>
          <w:p>
            <w:r>
              <w:rPr>
                <w:rFonts w:ascii="Calibri" w:hAnsi="Calibri"/>
                <w:sz w:val="22"/>
              </w:rPr>
              <w:t>Modest re-rating over 12M; still at discount to A&amp;D peers</w:t>
            </w:r>
          </w:p>
        </w:tc>
      </w:tr>
      <w:tr>
        <w:tc>
          <w:tcPr>
            <w:tcW w:type="dxa" w:w="1728"/>
          </w:tcPr>
          <w:p>
            <w:r>
              <w:rPr>
                <w:rFonts w:ascii="Calibri" w:hAnsi="Calibri"/>
                <w:sz w:val="22"/>
              </w:rPr>
              <w:t>P / FCF (NTM)</w:t>
            </w:r>
          </w:p>
        </w:tc>
        <w:tc>
          <w:tcPr>
            <w:tcW w:type="dxa" w:w="1728"/>
          </w:tcPr>
          <w:p>
            <w:r>
              <w:rPr>
                <w:rFonts w:ascii="Calibri" w:hAnsi="Calibri"/>
                <w:sz w:val="22"/>
              </w:rPr>
              <w:t>20.91x</w:t>
            </w:r>
          </w:p>
        </w:tc>
        <w:tc>
          <w:tcPr>
            <w:tcW w:type="dxa" w:w="1728"/>
          </w:tcPr>
          <w:p>
            <w:r>
              <w:rPr>
                <w:rFonts w:ascii="Calibri" w:hAnsi="Calibri"/>
                <w:sz w:val="22"/>
              </w:rPr>
              <w:t>20.28x</w:t>
            </w:r>
          </w:p>
        </w:tc>
        <w:tc>
          <w:tcPr>
            <w:tcW w:type="dxa" w:w="1728"/>
          </w:tcPr>
          <w:p>
            <w:r>
              <w:rPr>
                <w:rFonts w:ascii="Calibri" w:hAnsi="Calibri"/>
                <w:sz w:val="22"/>
              </w:rPr>
              <w:t>17.58x</w:t>
            </w:r>
          </w:p>
        </w:tc>
        <w:tc>
          <w:tcPr>
            <w:tcW w:type="dxa" w:w="1728"/>
          </w:tcPr>
          <w:p>
            <w:r>
              <w:rPr>
                <w:rFonts w:ascii="Calibri" w:hAnsi="Calibri"/>
                <w:sz w:val="22"/>
              </w:rPr>
              <w:t>+19% expansion over 12M; reflects elevated MV-75 CapEx in near-term FCF</w:t>
            </w:r>
          </w:p>
        </w:tc>
      </w:tr>
      <w:tr>
        <w:tc>
          <w:tcPr>
            <w:tcW w:type="dxa" w:w="1728"/>
          </w:tcPr>
          <w:p>
            <w:r>
              <w:rPr>
                <w:rFonts w:ascii="Calibri" w:hAnsi="Calibri"/>
                <w:sz w:val="22"/>
              </w:rPr>
              <w:t>EV / Sales</w:t>
            </w:r>
          </w:p>
        </w:tc>
        <w:tc>
          <w:tcPr>
            <w:tcW w:type="dxa" w:w="1728"/>
          </w:tcPr>
          <w:p>
            <w:r>
              <w:rPr>
                <w:rFonts w:ascii="Calibri" w:hAnsi="Calibri"/>
                <w:sz w:val="22"/>
              </w:rPr>
              <w:t>1.16x</w:t>
            </w:r>
          </w:p>
        </w:tc>
        <w:tc>
          <w:tcPr>
            <w:tcW w:type="dxa" w:w="1728"/>
          </w:tcPr>
          <w:p>
            <w:r>
              <w:rPr>
                <w:rFonts w:ascii="Calibri" w:hAnsi="Calibri"/>
                <w:sz w:val="22"/>
              </w:rPr>
              <w:t>1.10x</w:t>
            </w:r>
          </w:p>
        </w:tc>
        <w:tc>
          <w:tcPr>
            <w:tcW w:type="dxa" w:w="1728"/>
          </w:tcPr>
          <w:p>
            <w:r>
              <w:rPr>
                <w:rFonts w:ascii="Calibri" w:hAnsi="Calibri"/>
                <w:sz w:val="22"/>
              </w:rPr>
              <w:t>1.19x</w:t>
            </w:r>
          </w:p>
        </w:tc>
        <w:tc>
          <w:tcPr>
            <w:tcW w:type="dxa" w:w="1728"/>
          </w:tcPr>
          <w:p>
            <w:r>
              <w:rPr>
                <w:rFonts w:ascii="Calibri" w:hAnsi="Calibri"/>
                <w:sz w:val="22"/>
              </w:rPr>
              <w:t>Low absolute multiple; reflects conglomerate discount pre-Industrial separation</w:t>
            </w:r>
          </w:p>
        </w:tc>
      </w:tr>
      <w:tr>
        <w:tc>
          <w:tcPr>
            <w:tcW w:type="dxa" w:w="1728"/>
          </w:tcPr>
          <w:p>
            <w:r>
              <w:rPr>
                <w:rFonts w:ascii="Calibri" w:hAnsi="Calibri"/>
                <w:sz w:val="22"/>
              </w:rPr>
              <w:t>1-Month Price Change</w:t>
            </w:r>
          </w:p>
        </w:tc>
        <w:tc>
          <w:tcPr>
            <w:tcW w:type="dxa" w:w="1728"/>
          </w:tcPr>
          <w:p>
            <w:r>
              <w:rPr>
                <w:rFonts w:ascii="Calibri" w:hAnsi="Calibri"/>
                <w:sz w:val="22"/>
              </w:rPr>
              <w:t>+7.96%</w:t>
            </w:r>
          </w:p>
        </w:tc>
        <w:tc>
          <w:tcPr>
            <w:tcW w:type="dxa" w:w="1728"/>
          </w:tcPr>
          <w:p>
            <w:r>
              <w:rPr>
                <w:rFonts w:ascii="Calibri" w:hAnsi="Calibri"/>
                <w:sz w:val="22"/>
              </w:rPr>
              <w:t>—</w:t>
            </w:r>
          </w:p>
        </w:tc>
        <w:tc>
          <w:tcPr>
            <w:tcW w:type="dxa" w:w="1728"/>
          </w:tcPr>
          <w:p>
            <w:r>
              <w:rPr>
                <w:rFonts w:ascii="Calibri" w:hAnsi="Calibri"/>
                <w:sz w:val="22"/>
              </w:rPr>
              <w:t>—</w:t>
            </w:r>
          </w:p>
        </w:tc>
        <w:tc>
          <w:tcPr>
            <w:tcW w:type="dxa" w:w="1728"/>
          </w:tcPr>
          <w:p>
            <w:r>
              <w:rPr>
                <w:rFonts w:ascii="Calibri" w:hAnsi="Calibri"/>
                <w:sz w:val="22"/>
              </w:rPr>
              <w:t>Almost entirely multiple expansion; not estimate-driven</w:t>
            </w:r>
          </w:p>
        </w:tc>
      </w:tr>
      <w:tr>
        <w:tc>
          <w:tcPr>
            <w:tcW w:type="dxa" w:w="1728"/>
          </w:tcPr>
          <w:p>
            <w:r>
              <w:rPr>
                <w:rFonts w:ascii="Calibri" w:hAnsi="Calibri"/>
                <w:sz w:val="22"/>
              </w:rPr>
              <w:t>12-Month Price Change</w:t>
            </w:r>
          </w:p>
        </w:tc>
        <w:tc>
          <w:tcPr>
            <w:tcW w:type="dxa" w:w="1728"/>
          </w:tcPr>
          <w:p>
            <w:r>
              <w:rPr>
                <w:rFonts w:ascii="Calibri" w:hAnsi="Calibri"/>
                <w:sz w:val="22"/>
              </w:rPr>
              <w:t>+18.81%</w:t>
            </w:r>
          </w:p>
        </w:tc>
        <w:tc>
          <w:tcPr>
            <w:tcW w:type="dxa" w:w="1728"/>
          </w:tcPr>
          <w:p>
            <w:r>
              <w:rPr>
                <w:rFonts w:ascii="Calibri" w:hAnsi="Calibri"/>
                <w:sz w:val="22"/>
              </w:rPr>
              <w:t>—</w:t>
            </w:r>
          </w:p>
        </w:tc>
        <w:tc>
          <w:tcPr>
            <w:tcW w:type="dxa" w:w="1728"/>
          </w:tcPr>
          <w:p>
            <w:r>
              <w:rPr>
                <w:rFonts w:ascii="Calibri" w:hAnsi="Calibri"/>
                <w:sz w:val="22"/>
              </w:rPr>
              <w:t>—</w:t>
            </w:r>
          </w:p>
        </w:tc>
        <w:tc>
          <w:tcPr>
            <w:tcW w:type="dxa" w:w="1728"/>
          </w:tcPr>
          <w:p>
            <w:r>
              <w:rPr>
                <w:rFonts w:ascii="Calibri" w:hAnsi="Calibri"/>
                <w:sz w:val="22"/>
              </w:rPr>
              <w:t>Driven by mix of multiple expansion and earnings growth</w:t>
            </w:r>
          </w:p>
        </w:tc>
      </w:tr>
    </w:tbl>
    <w:p>
      <w:r>
        <w:rPr>
          <w:rFonts w:ascii="Calibri" w:hAnsi="Calibri"/>
          <w:i/>
          <w:color w:val="525866"/>
          <w:sz w:val="22"/>
        </w:rPr>
        <w:t>Source: Stock performance decomposition data (NTM multiples as of July 27, 2026). Primary valuation metric for TXT is EV/EBITDA given the multi-segment industrial/A&amp;D structure. Post-Industrial separation, the company would likely re-rate toward pure-play A&amp;D peers at 12–14x EV/EBITDA, representing meaningful upside from the current 10.35x.</w:t>
      </w:r>
    </w:p>
    <w:p>
      <w:r>
        <w:rPr>
          <w:rFonts w:ascii="Calibri" w:hAnsi="Calibri"/>
          <w:b/>
          <w:color w:val="525866"/>
          <w:sz w:val="22"/>
        </w:rPr>
        <w:t xml:space="preserve">Disclosures: </w:t>
      </w:r>
      <w:r>
        <w:rPr>
          <w:rFonts w:ascii="Calibri" w:hAnsi="Calibri"/>
          <w:i/>
          <w:color w:val="525866"/>
          <w:sz w:val="22"/>
        </w:rPr>
        <w:t>All consensus and actuals data sourced from Visible Alpha. Stock price data sourced from Yahoo Finance. Insider transaction data sourced from SEC Form 4 filings. Peer commentary sourced from earnings call transcripts and press releases filed with the SEC. This document is prepared for informational purposes only and does not constitute investment advice. Prepared July 27,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