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The stock has been in a severe decline. Let me read the recent earnings materials and get news to understand what's happening.Q1 2026 results looked strong, yet the stock has collapsed from ~</w:t>
      </w:r>
      <m:oMath>
        <m:r>
          <m:t>575</m:t>
        </m:r>
        <m:r>
          <m:t>t</m:t>
        </m:r>
        <m:r>
          <m:t>o</m:t>
        </m:r>
        <m:r>
          <m:t> </m:t>
        </m:r>
      </m:oMath>
      <w:r>
        <w:t xml:space="preserve">333. Let me read the Q4 2025 call and get recent news to understand the decline.The stock crashed sharply on 2026-01-29 (before Q4 earnings on Feb 11). Let me investigate what caused the de-rating and get the latest news/context going into Q2.Let me read the June 2026 Investor Day and search for what triggered the sharp de-rating and recent developments.I now have a comprehensive picture. Let me get current analyst/consensus context and any recent news via web search.Let me pull the Q2 2025 numbers for YoY framing and check the recent pre-earnings price surge.Let me quickly grab the Q2 2025 numbers for accurate YoY framing.# Tyler Technologies (TYL) — Q2 2026 Earnings Preview</w:t>
      </w:r>
    </w:p>
    <w:bookmarkStart w:id="9" w:name="X201605bc4564e73082f77b01b3c66ddea7bb83b"/>
    <w:p>
      <w:pPr>
        <w:pStyle w:val="Heading3"/>
      </w:pPr>
      <w:r>
        <w:t xml:space="preserve">Reports after the close, Wednesday July 29, 2026 (Q&amp;A call to follow; prepared remarks now published in advance)</w:t>
      </w:r>
    </w:p>
    <w:p>
      <w:r>
        <w:pict>
          <v:rect style="width:0;height:1.5pt" o:hralign="center" o:hrstd="t" o:hr="t"/>
        </w:pict>
      </w:r>
    </w:p>
    <w:bookmarkEnd w:id="9"/>
    <w:bookmarkStart w:id="10" w:name="X450aac6dd9e971bd0fdd140189a2734175a0175"/>
    <w:p>
      <w:pPr>
        <w:pStyle w:val="Heading2"/>
      </w:pPr>
      <w:r>
        <w:t xml:space="preserve">The one thing that matters: this is a valuation/narrative story, not a fundamentals story</w:t>
      </w:r>
    </w:p>
    <w:p>
      <w:pPr>
        <w:pStyle w:val="FirstParagraph"/>
      </w:pPr>
      <w:r>
        <w:t xml:space="preserve">Tyler is a rare case where the operating results and the stock chart have completely diverged. The business keeps hitting its numbers, yet the shares have been cut roughly in half.</w:t>
      </w:r>
    </w:p>
    <w:p>
      <w:pPr>
        <w:pStyle w:val="BodyText"/>
      </w:pPr>
      <w:r>
        <w:rPr>
          <w:b/>
          <w:bCs/>
        </w:rPr>
        <w:t xml:space="preserve">Stock context going in:</w:t>
      </w:r>
    </w:p>
    <w:p>
      <w:pPr>
        <w:pStyle w:val="Compact"/>
        <w:numPr>
          <w:ilvl w:val="0"/>
          <w:numId w:val="1001"/>
        </w:numPr>
      </w:pPr>
      <w:r>
        <w:t xml:space="preserve">Closed</w:t>
      </w:r>
      <w:r>
        <w:t xml:space="preserve"> </w:t>
      </w:r>
      <w:r>
        <w:rPr>
          <w:b/>
          <w:bCs/>
        </w:rPr>
        <w:t xml:space="preserve">~</w:t>
      </w:r>
      <m:oMath>
        <m:r>
          <m:t>333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28</m:t>
        </m:r>
        <m:r>
          <m:rPr>
            <m:sty m:val="p"/>
          </m:rPr>
          <m:t>,</m:t>
        </m:r>
        <m:r>
          <m:t>v</m:t>
        </m:r>
        <m:r>
          <m:t>s</m:t>
        </m:r>
        <m:r>
          <m:rPr>
            <m:sty m:val="p"/>
          </m:rPr>
          <m:t>.</m:t>
        </m:r>
        <m:r>
          <m:t>a</m:t>
        </m:r>
        <m:r>
          <m:t>F</m:t>
        </m:r>
        <m:r>
          <m:t>e</m:t>
        </m:r>
        <m:r>
          <m:t>b</m:t>
        </m:r>
        <m:r>
          <m:t>r</m:t>
        </m:r>
        <m:r>
          <m:t>u</m:t>
        </m:r>
        <m:r>
          <m:t>a</m:t>
        </m:r>
        <m:r>
          <m:t>r</m:t>
        </m:r>
        <m:r>
          <m:t>y</m:t>
        </m:r>
        <m:r>
          <m:t>2025</m:t>
        </m:r>
        <m:r>
          <m:t>h</m:t>
        </m:r>
        <m:r>
          <m:t>i</m:t>
        </m:r>
        <m:r>
          <m:t>g</m:t>
        </m:r>
        <m:r>
          <m:t>h</m:t>
        </m:r>
        <m:r>
          <m:t>o</m:t>
        </m:r>
        <m:r>
          <m:t>f</m:t>
        </m:r>
        <m:r>
          <m:t> </m:t>
        </m:r>
      </m:oMath>
      <w:r>
        <w:rPr>
          <w:b/>
          <w:bCs/>
        </w:rPr>
        <w:t xml:space="preserve">647 — a **~48% drawdown</w:t>
      </w:r>
      <w:r>
        <w:t xml:space="preserve">, and down ~27% YTD in 2026.</w:t>
      </w:r>
    </w:p>
    <w:p>
      <w:pPr>
        <w:pStyle w:val="Compact"/>
        <w:numPr>
          <w:ilvl w:val="0"/>
          <w:numId w:val="1001"/>
        </w:numPr>
      </w:pPr>
      <w:r>
        <w:t xml:space="preserve">The bulk of the damage came in a violent</w:t>
      </w:r>
      <w:r>
        <w:t xml:space="preserve"> </w:t>
      </w:r>
      <w:r>
        <w:rPr>
          <w:b/>
          <w:bCs/>
        </w:rPr>
        <w:t xml:space="preserve">late-Jan/early-Feb 2026 de-rating</w:t>
      </w:r>
      <w:r>
        <w:t xml:space="preserve"> </w:t>
      </w:r>
      <w:r>
        <w:t xml:space="preserve">(from ~</w:t>
      </w:r>
      <m:oMath>
        <m:r>
          <m:t>450</m:t>
        </m:r>
        <m:r>
          <m:t>t</m:t>
        </m:r>
        <m:r>
          <m:t>o</m:t>
        </m:r>
        <m:r>
          <m:t>a</m:t>
        </m:r>
        <m:r>
          <m:t> </m:t>
        </m:r>
      </m:oMath>
      <w:r>
        <w:t xml:space="preserve">287 low around the Q4 print) — well before any bad fundamental news.</w:t>
      </w:r>
    </w:p>
    <w:p>
      <w:pPr>
        <w:pStyle w:val="Compact"/>
        <w:numPr>
          <w:ilvl w:val="0"/>
          <w:numId w:val="1001"/>
        </w:numPr>
      </w:pPr>
      <w:r>
        <w:t xml:space="preserve">Shares bottomed near</w:t>
      </w:r>
      <w:r>
        <w:t xml:space="preserve"> </w:t>
      </w:r>
      <w:r>
        <w:rPr>
          <w:b/>
          <w:bCs/>
        </w:rPr>
        <w:t xml:space="preserve">$275 in late June</w:t>
      </w:r>
      <w:r>
        <w:t xml:space="preserve"> </w:t>
      </w:r>
      <w:r>
        <w:t xml:space="preserve">and have rallied</w:t>
      </w:r>
      <w:r>
        <w:t xml:space="preserve"> </w:t>
      </w:r>
      <w:r>
        <w:rPr>
          <w:b/>
          <w:bCs/>
        </w:rPr>
        <w:t xml:space="preserve">~21% off the lows</w:t>
      </w:r>
      <w:r>
        <w:t xml:space="preserve">, including</w:t>
      </w:r>
      <w:r>
        <w:t xml:space="preserve"> </w:t>
      </w:r>
      <w:r>
        <w:rPr>
          <w:b/>
          <w:bCs/>
        </w:rPr>
        <w:t xml:space="preserve">~+12% in the final three sessions into the print</w:t>
      </w:r>
      <w:r>
        <w:t xml:space="preserve"> </w:t>
      </w:r>
      <w:r>
        <w:t xml:space="preserve">— riding a broad software re-rating rotation (Workday +9% on 7/27; sell-side flagging software multiples far below historical averages) as money rotated out of AI-semis into "AI-defensive" software.</w:t>
      </w:r>
    </w:p>
    <w:p>
      <w:pPr>
        <w:pStyle w:val="FirstParagraph"/>
      </w:pPr>
      <w:r>
        <w:rPr>
          <w:b/>
          <w:bCs/>
        </w:rPr>
        <w:t xml:space="preserve">Why it fell:</w:t>
      </w:r>
      <w:r>
        <w:t xml:space="preserve"> </w:t>
      </w:r>
      <w:r>
        <w:t xml:space="preserve">The market re-rated Tyler on the fear that large language models let government agencies build/replace vertical software, compressing the terminal value of gov-tech SaaS. TYL now trades at roughly a</w:t>
      </w:r>
      <w:r>
        <w:t xml:space="preserve"> </w:t>
      </w:r>
      <w:r>
        <w:rPr>
          <w:b/>
          <w:bCs/>
        </w:rPr>
        <w:t xml:space="preserve">decade-low ~18x forward EV/FCF</w:t>
      </w:r>
      <w:r>
        <w:t xml:space="preserve">, despite a Street that remains overwhelmingly</w:t>
      </w:r>
      <w:r>
        <w:t xml:space="preserve"> </w:t>
      </w:r>
      <w:r>
        <w:rPr>
          <w:b/>
          <w:bCs/>
        </w:rPr>
        <w:t xml:space="preserve">Buy-rated with price targets clustered in the ~$425–470 range</w:t>
      </w:r>
      <w:r>
        <w:t xml:space="preserve"> </w:t>
      </w:r>
      <w:r>
        <w:t xml:space="preserve">(i.e., a very wide gap between price and analyst fair value).</w:t>
      </w:r>
    </w:p>
    <w:p>
      <w:pPr>
        <w:pStyle w:val="BodyText"/>
      </w:pPr>
      <w:r>
        <w:rPr>
          <w:b/>
          <w:bCs/>
        </w:rPr>
        <w:t xml:space="preserve">Implication for the print:</w:t>
      </w:r>
      <w:r>
        <w:t xml:space="preserve"> </w:t>
      </w:r>
      <w:r>
        <w:t xml:space="preserve">With sentiment washed out and the stock deeply de-rated, the reaction will likely hinge less on a penny of EPS and more on (1) whether recurring-revenue/SaaS durability holds, and (2) any incremental</w:t>
      </w:r>
      <w:r>
        <w:t xml:space="preserve"> </w:t>
      </w:r>
      <w:r>
        <w:rPr>
          <w:b/>
          <w:bCs/>
        </w:rPr>
        <w:t xml:space="preserve">proof points that AI is a tailwind, not a threat</w:t>
      </w:r>
      <w:r>
        <w:t xml:space="preserve"> </w:t>
      </w:r>
      <w:r>
        <w:t xml:space="preserve">— the exact thesis management spent its June Investor Day defending.</w:t>
      </w:r>
    </w:p>
    <w:p>
      <w:r>
        <w:pict>
          <v:rect style="width:0;height:1.5pt" o:hralign="center" o:hrstd="t" o:hr="t"/>
        </w:pict>
      </w:r>
    </w:p>
    <w:bookmarkEnd w:id="10"/>
    <w:bookmarkStart w:id="11" w:name="Xf89f8fa8afb12ccdeef2efc8d69add67830ee41"/>
    <w:p>
      <w:pPr>
        <w:pStyle w:val="Heading2"/>
      </w:pPr>
      <w:r>
        <w:t xml:space="preserve">The setup: consensus and the year-ago comparison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Q2 2026 consensus / setup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$596.1M (+10.2%)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~$647M (~+8.5%)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$2.91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~$3.07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SaaS revenue</w:t>
            </w:r>
          </w:p>
        </w:tc>
        <w:tc>
          <w:tcPr/>
          <w:p>
            <w:pPr>
              <w:pStyle w:val="Compact"/>
            </w:pPr>
            <w:r>
              <w:t xml:space="preserve">$189.6M (+21.5%)</w:t>
            </w:r>
          </w:p>
        </w:tc>
        <w:tc>
          <w:tcPr/>
          <w:p>
            <w:pPr>
              <w:pStyle w:val="Compact"/>
            </w:pPr>
            <w:r>
              <w:t xml:space="preserve">~$229M implied (~+21%) → would be</w:t>
            </w:r>
            <w:r>
              <w:t xml:space="preserve"> </w:t>
            </w:r>
            <w:r>
              <w:rPr>
                <w:b/>
                <w:bCs/>
              </w:rPr>
              <w:t xml:space="preserve">22nd straight quarter of ≥20% SaaS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Transaction revenue</w:t>
            </w:r>
          </w:p>
        </w:tc>
        <w:tc>
          <w:tcPr/>
          <w:p>
            <w:pPr>
              <w:pStyle w:val="Compact"/>
            </w:pPr>
            <w:r>
              <w:t xml:space="preserve">$215.5M (+21.3%)</w:t>
            </w:r>
          </w:p>
        </w:tc>
        <w:tc>
          <w:tcPr/>
          <w:p>
            <w:pPr>
              <w:pStyle w:val="Compact"/>
            </w:pPr>
            <w:r>
              <w:t xml:space="preserve">Optically weak —</w:t>
            </w:r>
            <w:r>
              <w:t xml:space="preserve"> </w:t>
            </w:r>
            <w:r>
              <w:rPr>
                <w:b/>
                <w:bCs/>
              </w:rPr>
              <w:t xml:space="preserve">tough comp</w:t>
            </w:r>
            <w:r>
              <w:t xml:space="preserve"> </w:t>
            </w:r>
            <w:r>
              <w:t xml:space="preserve">(see below)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ARR</w:t>
            </w:r>
          </w:p>
        </w:tc>
        <w:tc>
          <w:tcPr/>
          <w:p>
            <w:pPr>
              <w:pStyle w:val="Compact"/>
            </w:pPr>
            <w:r>
              <w:t xml:space="preserve">$2.07B</w:t>
            </w:r>
          </w:p>
        </w:tc>
        <w:tc>
          <w:tcPr/>
          <w:p>
            <w:pPr>
              <w:pStyle w:val="Compact"/>
            </w:pPr>
            <w:r>
              <w:t xml:space="preserve">~$2.2B+ (guide implies ~10–11% growth)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 margin</w:t>
            </w:r>
          </w:p>
        </w:tc>
        <w:tc>
          <w:tcPr/>
          <w:p>
            <w:pPr>
              <w:pStyle w:val="Compact"/>
            </w:pPr>
            <w:r>
              <w:t xml:space="preserve">26.5%</w:t>
            </w:r>
          </w:p>
        </w:tc>
        <w:tc>
          <w:tcPr/>
          <w:p>
            <w:pPr>
              <w:pStyle w:val="Compact"/>
            </w:pPr>
            <w:r>
              <w:t xml:space="preserve">Watch for continued expansion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FCF</w:t>
            </w:r>
          </w:p>
        </w:tc>
        <w:tc>
          <w:tcPr/>
          <w:p>
            <w:pPr>
              <w:pStyle w:val="Compact"/>
            </w:pPr>
            <w:r>
              <w:t xml:space="preserve">$88.0M (14.8% margin)</w:t>
            </w:r>
          </w:p>
        </w:tc>
        <w:tc>
          <w:tcPr/>
          <w:p>
            <w:pPr>
              <w:pStyle w:val="Compact"/>
            </w:pPr>
            <w:r>
              <w:t xml:space="preserve">H1 FCF has been running well ahead of last year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20" w:name="what-to-watch-in-order-of-importance"/>
    <w:p>
      <w:pPr>
        <w:pStyle w:val="Heading2"/>
      </w:pPr>
      <w:r>
        <w:t xml:space="preserve">What to watch, in order of importance</w:t>
      </w:r>
    </w:p>
    <w:bookmarkStart w:id="12" w:name="Xf3b45203573346d2ede4586333d6cdc437b59c3"/>
    <w:p>
      <w:pPr>
        <w:pStyle w:val="Heading3"/>
      </w:pPr>
      <w:r>
        <w:t xml:space="preserve">1. SaaS growth durability (the core KPI)</w:t>
      </w:r>
    </w:p>
    <w:p>
      <w:pPr>
        <w:pStyle w:val="FirstParagraph"/>
      </w:pPr>
      <w:r>
        <w:t xml:space="preserve">SaaS was</w:t>
      </w:r>
      <w:r>
        <w:t xml:space="preserve"> </w:t>
      </w:r>
      <w:r>
        <w:rPr>
          <w:b/>
          <w:bCs/>
        </w:rPr>
        <w:t xml:space="preserve">+23.5% in Q1 2026</w:t>
      </w:r>
      <w:r>
        <w:t xml:space="preserve"> </w:t>
      </w:r>
      <w:r>
        <w:t xml:space="preserve">($222.4M), extending a streak to</w:t>
      </w:r>
      <w:r>
        <w:t xml:space="preserve"> </w:t>
      </w:r>
      <w:r>
        <w:rPr>
          <w:b/>
          <w:bCs/>
        </w:rPr>
        <w:t xml:space="preserve">21 consecutive quarters of ≥20% growth</w:t>
      </w:r>
      <w:r>
        <w:t xml:space="preserve">. Management raised the FY26 SaaS growth guide to</w:t>
      </w:r>
      <w:r>
        <w:t xml:space="preserve"> </w:t>
      </w:r>
      <w:r>
        <w:rPr>
          <w:b/>
          <w:bCs/>
        </w:rPr>
        <w:t xml:space="preserve">20.5%–22.5%</w:t>
      </w:r>
      <w:r>
        <w:t xml:space="preserve"> </w:t>
      </w:r>
      <w:r>
        <w:t xml:space="preserve">and, at Investor Day, laid out a</w:t>
      </w:r>
      <w:r>
        <w:t xml:space="preserve"> </w:t>
      </w:r>
      <w:r>
        <w:rPr>
          <w:b/>
          <w:bCs/>
        </w:rPr>
        <w:t xml:space="preserve">~20% SaaS CAGR through 2030</w:t>
      </w:r>
      <w:r>
        <w:t xml:space="preserve"> </w:t>
      </w:r>
      <w:r>
        <w:t xml:space="preserve">(an</w:t>
      </w:r>
      <w:r>
        <w:t xml:space="preserve"> </w:t>
      </w:r>
      <w:r>
        <w:rPr>
          <w:i/>
          <w:iCs/>
        </w:rPr>
        <w:t xml:space="preserve">acceleration</w:t>
      </w:r>
      <w:r>
        <w:t xml:space="preserve"> </w:t>
      </w:r>
      <w:r>
        <w:t xml:space="preserve">vs. the prior high-teens target). Key question: does Q2 keep the ≥20% streak alive, and do they nudge the full-year SaaS range higher again? Recall management says ~13% of this year's SaaS growth is already "in the bag" from prior bookings, so visibility is high.</w:t>
      </w:r>
    </w:p>
    <w:bookmarkEnd w:id="12"/>
    <w:bookmarkStart w:id="13" w:name="X02b56f2f64be11676ec1a86dd2b42993fd31dba"/>
    <w:p>
      <w:pPr>
        <w:pStyle w:val="Heading3"/>
      </w:pPr>
      <w:r>
        <w:t xml:space="preserve">2. Bookings &amp; SaaS "flips" (the cloud-transition engine)</w:t>
      </w:r>
    </w:p>
    <w:p>
      <w:pPr>
        <w:pStyle w:val="Compact"/>
        <w:numPr>
          <w:ilvl w:val="0"/>
          <w:numId w:val="1002"/>
        </w:numPr>
      </w:pPr>
      <w:r>
        <w:t xml:space="preserve">Q4 2025 was a record flip quarter (</w:t>
      </w:r>
      <w:r>
        <w:rPr>
          <w:b/>
          <w:bCs/>
        </w:rPr>
        <w:t xml:space="preserve">flip ACV +64.5% y/y</w:t>
      </w:r>
      <w:r>
        <w:t xml:space="preserve">); Q1 2026 was a solid, broad-based bookings quarter but</w:t>
      </w:r>
      <w:r>
        <w:t xml:space="preserve"> </w:t>
      </w:r>
      <w:r>
        <w:rPr>
          <w:b/>
          <w:bCs/>
        </w:rPr>
        <w:t xml:space="preserve">notably lacked any multi-million-dollar SaaS deals</w:t>
      </w:r>
      <w:r>
        <w:t xml:space="preserve">. Watch whether large deals return and whether flip momentum builds — management guides flip volume up in 2026 with the</w:t>
      </w:r>
      <w:r>
        <w:t xml:space="preserve"> </w:t>
      </w:r>
      <w:r>
        <w:rPr>
          <w:b/>
          <w:bCs/>
        </w:rPr>
        <w:t xml:space="preserve">peak flip years still ahead in 2027–2029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Watch</w:t>
      </w:r>
      <w:r>
        <w:t xml:space="preserve"> </w:t>
      </w:r>
      <w:r>
        <w:rPr>
          <w:b/>
          <w:bCs/>
        </w:rPr>
        <w:t xml:space="preserve">duration</w:t>
      </w:r>
      <w:r>
        <w:t xml:space="preserve"> </w:t>
      </w:r>
      <w:r>
        <w:t xml:space="preserve">normalization: last year's bookings were flattered by unusually long-duration deals (e.g., the 8-year Maine contract), so headline SaaS-bookings growth can understate underlying ACV strength.</w:t>
      </w:r>
    </w:p>
    <w:bookmarkEnd w:id="13"/>
    <w:bookmarkStart w:id="14" w:name="Xd0e198e8a7b0a6df63d04c664c2fd6c611a80aa"/>
    <w:p>
      <w:pPr>
        <w:pStyle w:val="Heading3"/>
      </w:pPr>
      <w:r>
        <w:t xml:space="preserve">3. Transaction revenue — brace for an optically soft line</w:t>
      </w:r>
    </w:p>
    <w:p>
      <w:pPr>
        <w:pStyle w:val="FirstParagraph"/>
      </w:pPr>
      <w:r>
        <w:t xml:space="preserve">This is the biggest "gotcha" for the headline. The</w:t>
      </w:r>
      <w:r>
        <w:t xml:space="preserve"> </w:t>
      </w:r>
      <w:r>
        <w:rPr>
          <w:b/>
          <w:bCs/>
        </w:rPr>
        <w:t xml:space="preserve">State of Texas payments contract wound down (~$36M in 2025, ended Q4'25)</w:t>
      </w:r>
      <w:r>
        <w:t xml:space="preserve">, plus Q2 2025 was an unusually strong transactions quarter (+21.3%). FY26 guidance is only</w:t>
      </w:r>
      <w:r>
        <w:t xml:space="preserve"> </w:t>
      </w:r>
      <w:r>
        <w:rPr>
          <w:b/>
          <w:bCs/>
        </w:rPr>
        <w:t xml:space="preserve">+5–7% reported transactions (but +10–12% ex-Texas)</w:t>
      </w:r>
      <w:r>
        <w:t xml:space="preserve">. Don't confuse the Texas roll-off with demand weakness — the underlying, higher-margin, software-embedded payments/transaction business is still compounding low-double-digits.</w:t>
      </w:r>
    </w:p>
    <w:bookmarkEnd w:id="14"/>
    <w:bookmarkStart w:id="15" w:name="Xcf115fb004168c49c5954a78916815fbdd47380"/>
    <w:p>
      <w:pPr>
        <w:pStyle w:val="Heading3"/>
      </w:pPr>
      <w:r>
        <w:t xml:space="preserve">4. Free cash flow (co-equal KPI with recurring revenue)</w:t>
      </w:r>
    </w:p>
    <w:p>
      <w:pPr>
        <w:pStyle w:val="FirstParagraph"/>
      </w:pPr>
      <w:r>
        <w:t xml:space="preserve">FCF</w:t>
      </w:r>
      <w:r>
        <w:t xml:space="preserve"> </w:t>
      </w:r>
      <w:r>
        <w:rPr>
          <w:b/>
          <w:bCs/>
        </w:rPr>
        <w:t xml:space="preserve">more than doubled in Q1 2026</w:t>
      </w:r>
      <w:r>
        <w:t xml:space="preserve"> </w:t>
      </w:r>
      <w:r>
        <w:t xml:space="preserve">($102.8M vs. $48.3M). FY guide is a</w:t>
      </w:r>
      <w:r>
        <w:t xml:space="preserve"> </w:t>
      </w:r>
      <w:r>
        <w:rPr>
          <w:b/>
          <w:bCs/>
        </w:rPr>
        <w:t xml:space="preserve">26–28% FCF margin</w:t>
      </w:r>
      <w:r>
        <w:t xml:space="preserve">, with a 2030 target now raised to the</w:t>
      </w:r>
      <w:r>
        <w:t xml:space="preserve"> </w:t>
      </w:r>
      <w:r>
        <w:rPr>
          <w:b/>
          <w:bCs/>
        </w:rPr>
        <w:t xml:space="preserve">low-30s and $1.1–1.2B of FCF</w:t>
      </w:r>
      <w:r>
        <w:t xml:space="preserve">. Q2 will be the</w:t>
      </w:r>
      <w:r>
        <w:t xml:space="preserve"> </w:t>
      </w:r>
      <w:r>
        <w:rPr>
          <w:b/>
          <w:bCs/>
        </w:rPr>
        <w:t xml:space="preserve">first full quarter including For The Record (FTR)</w:t>
      </w:r>
      <w:r>
        <w:t xml:space="preserve">. Watch the FCF margin trajectory as the clearest read on the "mid-30s operating margin by 2030" story.</w:t>
      </w:r>
    </w:p>
    <w:bookmarkEnd w:id="15"/>
    <w:bookmarkStart w:id="16" w:name="Xe5b7bc3dc468922b897630f92593602dc31a0f5"/>
    <w:p>
      <w:pPr>
        <w:pStyle w:val="Heading3"/>
      </w:pPr>
      <w:r>
        <w:t xml:space="preserve">5. Guidance — will they raise again?</w:t>
      </w:r>
    </w:p>
    <w:p>
      <w:pPr>
        <w:pStyle w:val="FirstParagraph"/>
      </w:pPr>
      <w:r>
        <w:t xml:space="preserve">Guidance has been walked up all year:</w:t>
      </w:r>
    </w:p>
    <w:p>
      <w:pPr>
        <w:pStyle w:val="Compact"/>
        <w:numPr>
          <w:ilvl w:val="0"/>
          <w:numId w:val="1003"/>
        </w:numPr>
      </w:pPr>
      <w:r>
        <w:t xml:space="preserve">Feb: Rev $2.50–2.55B / non-GAAP EPS $12.40–12.65</w:t>
      </w:r>
    </w:p>
    <w:p>
      <w:pPr>
        <w:pStyle w:val="Compact"/>
        <w:numPr>
          <w:ilvl w:val="0"/>
          <w:numId w:val="1003"/>
        </w:numPr>
      </w:pPr>
      <w:r>
        <w:t xml:space="preserve">Apr (added FTR, ~</w:t>
      </w:r>
      <m:oMath>
        <m:r>
          <m:t>30</m:t>
        </m:r>
        <m:r>
          <m:t>M</m:t>
        </m:r>
        <m:r>
          <m:t>r</m:t>
        </m:r>
        <m:r>
          <m:t>e</m:t>
        </m:r>
        <m:r>
          <m:t>v</m:t>
        </m:r>
        <m:r>
          <m:rPr>
            <m:sty m:val="p"/>
          </m:rPr>
          <m:t>)</m:t>
        </m:r>
        <m:r>
          <m:rPr>
            <m:sty m:val="p"/>
          </m:rPr>
          <m:t>:</m:t>
        </m:r>
        <m:r>
          <m:t>R</m:t>
        </m:r>
        <m:r>
          <m:t>e</m:t>
        </m:r>
        <m:r>
          <m:t>v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2.535–2.575B** / EPS</w:t>
      </w:r>
      <w:r>
        <w:t xml:space="preserve"> </w:t>
      </w:r>
      <w:r>
        <w:rPr>
          <w:b/>
          <w:bCs/>
        </w:rPr>
        <w:t xml:space="preserve">$12.50–12.75</w:t>
      </w:r>
    </w:p>
    <w:p>
      <w:pPr>
        <w:pStyle w:val="Compact"/>
        <w:numPr>
          <w:ilvl w:val="0"/>
          <w:numId w:val="1003"/>
        </w:numPr>
      </w:pPr>
      <w:r>
        <w:t xml:space="preserve">Jun (Investor Day, convert accretion):</w:t>
      </w:r>
      <w:r>
        <w:t xml:space="preserve"> </w:t>
      </w:r>
      <w:r>
        <w:rPr>
          <w:b/>
          <w:bCs/>
        </w:rPr>
        <w:t xml:space="preserve">EPS raised +</w:t>
      </w:r>
      <m:oMath>
        <m:r>
          <m:t>0.30</m:t>
        </m:r>
        <m:r>
          <m:t>t</m:t>
        </m:r>
        <m:r>
          <m:t>o</m:t>
        </m:r>
        <m:r>
          <m:t> </m:t>
        </m:r>
      </m:oMath>
      <w:r>
        <w:rPr>
          <w:b/>
          <w:bCs/>
        </w:rPr>
        <w:t xml:space="preserve">12.80–13.05</w:t>
      </w:r>
    </w:p>
    <w:p>
      <w:pPr>
        <w:pStyle w:val="FirstParagraph"/>
      </w:pPr>
      <w:r>
        <w:t xml:space="preserve">Note management flagged</w:t>
      </w:r>
      <w:r>
        <w:t xml:space="preserve"> </w:t>
      </w:r>
      <w:r>
        <w:rPr>
          <w:b/>
          <w:bCs/>
        </w:rPr>
        <w:t xml:space="preserve">earnings are now back-half weighted (~53% of full-year EPS in H2)</w:t>
      </w:r>
      <w:r>
        <w:t xml:space="preserve"> </w:t>
      </w:r>
      <w:r>
        <w:t xml:space="preserve">because of the June convert. So a modest Q2 with a maintained/slightly raised full-year could still be fine — but the market will want at least a revenue reaffirmation plus FTR clarity.</w:t>
      </w:r>
    </w:p>
    <w:bookmarkEnd w:id="16"/>
    <w:bookmarkStart w:id="17" w:name="Xd3647eebf32383d99634e7fc9df9616b46eff2f"/>
    <w:p>
      <w:pPr>
        <w:pStyle w:val="Heading3"/>
      </w:pPr>
      <w:r>
        <w:t xml:space="preserve">6. FTR integration</w:t>
      </w:r>
    </w:p>
    <w:p>
      <w:pPr>
        <w:pStyle w:val="FirstParagraph"/>
      </w:pPr>
      <w:r>
        <w:t xml:space="preserve">Closed 4/14/26 for ~</w:t>
      </w:r>
      <m:oMath>
        <m:r>
          <m:t>223</m:t>
        </m:r>
        <m:r>
          <m:t>M</m:t>
        </m:r>
        <m:r>
          <m:rPr>
            <m:sty m:val="p"/>
          </m:rPr>
          <m:t>(</m:t>
        </m:r>
        <m:r>
          <m:t>3</m:t>
        </m:r>
        <m:r>
          <m:t>r</m:t>
        </m:r>
        <m:r>
          <m:t>d</m:t>
        </m:r>
        <m:r>
          <m:rPr>
            <m:sty m:val="p"/>
          </m:rPr>
          <m:t>−</m:t>
        </m:r>
        <m:r>
          <m:t>l</m:t>
        </m:r>
        <m:r>
          <m:t>a</m:t>
        </m:r>
        <m:r>
          <m:t>r</m:t>
        </m:r>
        <m:r>
          <m:t>g</m:t>
        </m:r>
        <m:r>
          <m:t>e</m:t>
        </m:r>
        <m:r>
          <m:t>s</m:t>
        </m:r>
        <m:r>
          <m:t>t</m:t>
        </m:r>
        <m:r>
          <m:t>d</m:t>
        </m:r>
        <m:r>
          <m:t>e</m:t>
        </m:r>
        <m:r>
          <m:t>a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t> </m:t>
        </m:r>
      </m:oMath>
      <w:r>
        <w:t xml:space="preserve">30M of 2026 revenue, ~70% software. Management frames it as a "judicial intelligence" / AI-transcription data play expanding the courts TAM toward $1B+. First quarter of contribution and any early integration color will be scrutinized.</w:t>
      </w:r>
    </w:p>
    <w:bookmarkEnd w:id="17"/>
    <w:bookmarkStart w:id="18" w:name="X93f8b65988a4e024f564994976fe899d70f0f87"/>
    <w:p>
      <w:pPr>
        <w:pStyle w:val="Heading3"/>
      </w:pPr>
      <w:r>
        <w:t xml:space="preserve">7. AI commercial traction (the swing factor for the multiple)</w:t>
      </w:r>
    </w:p>
    <w:p>
      <w:pPr>
        <w:pStyle w:val="FirstParagraph"/>
      </w:pPr>
      <w:r>
        <w:t xml:space="preserve">This is what can actually move the narrative. Look for updates on: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Document automation</w:t>
      </w:r>
      <w:r>
        <w:t xml:space="preserve"> </w:t>
      </w:r>
      <w:r>
        <w:t xml:space="preserve">deals (Miami-Dade ~</w:t>
      </w:r>
      <m:oMath>
        <m:r>
          <m:t>800</m:t>
        </m:r>
        <m:r>
          <m:t>K</m:t>
        </m:r>
        <m:r>
          <m:rPr>
            <m:sty m:val="p"/>
          </m:rPr>
          <m:t>,</m:t>
        </m:r>
        <m:r>
          <m:t>H</m:t>
        </m:r>
        <m:r>
          <m:t>a</m:t>
        </m:r>
        <m:r>
          <m:t>r</m:t>
        </m:r>
        <m:r>
          <m:t>r</m:t>
        </m:r>
        <m:r>
          <m:t>i</m:t>
        </m:r>
        <m:r>
          <m:t>s</m:t>
        </m:r>
        <m:r>
          <m:t>C</m:t>
        </m:r>
        <m:r>
          <m:t>o</m:t>
        </m:r>
        <m:r>
          <m:t>u</m:t>
        </m:r>
        <m:r>
          <m:t>n</m:t>
        </m:r>
        <m:r>
          <m:t>t</m:t>
        </m:r>
        <m:r>
          <m:t>y</m:t>
        </m:r>
        <m:r>
          <m:t> </m:t>
        </m:r>
      </m:oMath>
      <w:r>
        <w:t xml:space="preserve">1M cited in Q1; Tarrant County reportedly paying ~43% uplift) — the clearest evidence of AI</w:t>
      </w:r>
      <w:r>
        <w:t xml:space="preserve"> </w:t>
      </w:r>
      <w:r>
        <w:rPr>
          <w:i/>
          <w:iCs/>
        </w:rPr>
        <w:t xml:space="preserve">monetization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Agentic rollout</w:t>
      </w:r>
      <w:r>
        <w:t xml:space="preserve">: management targeted</w:t>
      </w:r>
      <w:r>
        <w:t xml:space="preserve"> </w:t>
      </w:r>
      <w:r>
        <w:rPr>
          <w:b/>
          <w:bCs/>
        </w:rPr>
        <w:t xml:space="preserve">25 AI agents across 100% of flagships by year-end</w:t>
      </w:r>
      <w:r>
        <w:t xml:space="preserve">, with a phased 2026 ramp. Progress here supports the "10–30% SaaS price uplift" thesis Franklin Williams laid out.</w:t>
      </w:r>
    </w:p>
    <w:p>
      <w:pPr>
        <w:pStyle w:val="Compact"/>
        <w:numPr>
          <w:ilvl w:val="0"/>
          <w:numId w:val="1004"/>
        </w:numPr>
      </w:pPr>
      <w:r>
        <w:t xml:space="preserve">Any commentary reinforcing that AI is</w:t>
      </w:r>
      <w:r>
        <w:t xml:space="preserve"> </w:t>
      </w:r>
      <w:r>
        <w:rPr>
          <w:i/>
          <w:iCs/>
        </w:rPr>
        <w:t xml:space="preserve">widening the moat</w:t>
      </w:r>
      <w:r>
        <w:t xml:space="preserve"> </w:t>
      </w:r>
      <w:r>
        <w:t xml:space="preserve">(proprietary data + trust + distribution) rather than enabling disruption. Management has been explicit that AI is</w:t>
      </w:r>
      <w:r>
        <w:t xml:space="preserve"> </w:t>
      </w:r>
      <w:r>
        <w:rPr>
          <w:b/>
          <w:bCs/>
        </w:rPr>
        <w:t xml:space="preserve">not yet a needle-mover in near-term financials</w:t>
      </w:r>
      <w:r>
        <w:t xml:space="preserve"> </w:t>
      </w:r>
      <w:r>
        <w:t xml:space="preserve">— a slower public-sector adoption curve — so temper expectations for it to show in the numbers this quarter.</w:t>
      </w:r>
    </w:p>
    <w:bookmarkEnd w:id="18"/>
    <w:bookmarkStart w:id="19" w:name="X9b822c0ad28fbfd024f9fc25007053938e7bfd2"/>
    <w:p>
      <w:pPr>
        <w:pStyle w:val="Heading3"/>
      </w:pPr>
      <w:r>
        <w:t xml:space="preserve">8. Capital allocation / buyback pace</w:t>
      </w:r>
    </w:p>
    <w:p>
      <w:pPr>
        <w:pStyle w:val="FirstParagraph"/>
      </w:pPr>
      <w:r>
        <w:t xml:space="preserve">Tyler has been aggressive with the stock down:</w:t>
      </w:r>
    </w:p>
    <w:p>
      <w:pPr>
        <w:pStyle w:val="Compact"/>
        <w:numPr>
          <w:ilvl w:val="0"/>
          <w:numId w:val="1005"/>
        </w:numPr>
      </w:pPr>
      <w:r>
        <w:t xml:space="preserve">Repaid the $600M convert at March maturity.</w:t>
      </w:r>
    </w:p>
    <w:p>
      <w:pPr>
        <w:pStyle w:val="Compact"/>
        <w:numPr>
          <w:ilvl w:val="0"/>
          <w:numId w:val="1005"/>
        </w:numPr>
      </w:pPr>
      <w:r>
        <w:t xml:space="preserve">New **</w:t>
      </w:r>
      <m:oMath>
        <m:r>
          <m:t>1</m:t>
        </m:r>
        <m:r>
          <m:t>B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F</m:t>
        </m:r>
        <m:r>
          <m:t>e</m:t>
        </m:r>
        <m:r>
          <m:t>b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5</m:t>
        </m:r>
      </m:oMath>
      <w:r>
        <w:t xml:space="preserve">315), with ~1/3 of the authorization remaining.</w:t>
      </w:r>
    </w:p>
    <w:p>
      <w:pPr>
        <w:pStyle w:val="Compact"/>
        <w:numPr>
          <w:ilvl w:val="0"/>
          <w:numId w:val="1005"/>
        </w:numPr>
      </w:pPr>
      <w:r>
        <w:t xml:space="preserve">Issued a</w:t>
      </w:r>
      <w:r>
        <w:t xml:space="preserve"> </w:t>
      </w:r>
      <w:r>
        <w:rPr>
          <w:b/>
          <w:bCs/>
        </w:rPr>
        <w:t xml:space="preserve">$1.4B convertible in June</w:t>
      </w:r>
      <w:r>
        <w:t xml:space="preserve"> </w:t>
      </w:r>
      <w:r>
        <w:t xml:space="preserve">on attractive terms + a **capped call raising dilution protection to a</w:t>
      </w:r>
      <w:r>
        <w:t xml:space="preserve"> </w:t>
      </w:r>
      <m:oMath>
        <m:r>
          <m:t>655</m:t>
        </m:r>
        <m:r>
          <m:t>s</m:t>
        </m:r>
        <m:r>
          <m:t>t</m:t>
        </m:r>
        <m:r>
          <m:t>r</m:t>
        </m:r>
        <m:r>
          <m:t>i</m:t>
        </m:r>
        <m:r>
          <m:t>k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b</m:t>
        </m:r>
        <m:r>
          <m:t>o</m:t>
        </m:r>
        <m:r>
          <m:t>u</m:t>
        </m:r>
        <m:r>
          <m:t>g</m:t>
        </m:r>
        <m:r>
          <m:t>h</m:t>
        </m:r>
        <m:r>
          <m:t>t</m:t>
        </m:r>
        <m:r>
          <m:t>b</m:t>
        </m:r>
        <m:r>
          <m:t>a</m:t>
        </m:r>
        <m:r>
          <m:t>c</m:t>
        </m:r>
        <m:r>
          <m:t>k</m:t>
        </m:r>
        <m:r>
          <m:t> </m:t>
        </m:r>
        <m:r>
          <m:t>1</m:t>
        </m:r>
        <m:r>
          <m:t>M</m:t>
        </m:r>
        <m:r>
          <m:rPr>
            <m:sty m:val="p"/>
          </m:rPr>
          <m:t>+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(</m:t>
        </m:r>
        <m:r>
          <m:t> </m:t>
        </m:r>
      </m:oMath>
      <w:r>
        <w:t xml:space="preserve">300M) on the offering day.</w:t>
      </w:r>
      <w:r>
        <w:t xml:space="preserve"> </w:t>
      </w:r>
      <w:r>
        <w:t xml:space="preserve">Given the depressed price, watch for continued heavy repurchase and any signal on refreshing the authorization — management has openly called the stock undervalued.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gaap-vs-non-gaap-caveat"/>
    <w:p>
      <w:pPr>
        <w:pStyle w:val="Heading2"/>
      </w:pPr>
      <w:r>
        <w:t xml:space="preserve">GAAP vs. non-GAAP caveat</w:t>
      </w:r>
    </w:p>
    <w:p>
      <w:pPr>
        <w:pStyle w:val="FirstParagraph"/>
      </w:pPr>
      <w:r>
        <w:t xml:space="preserve">Expect the usual wide gap. In Q1'26, GAAP EPS was flat (~</w:t>
      </w:r>
      <m:oMath>
        <m:r>
          <m:t>1.88</m:t>
        </m:r>
        <m:r>
          <m:rPr>
            <m:sty m:val="p"/>
          </m:rPr>
          <m:t>)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G</m:t>
        </m:r>
        <m:r>
          <m:t>A</m:t>
        </m:r>
        <m:r>
          <m:t>A</m:t>
        </m:r>
        <m:r>
          <m:t>P</m:t>
        </m:r>
        <m:r>
          <m:t>r</m:t>
        </m:r>
        <m:r>
          <m:t>o</m:t>
        </m:r>
        <m:r>
          <m:t>s</m:t>
        </m:r>
        <m:r>
          <m:t>e</m:t>
        </m:r>
        <m:r>
          <m:t> </m:t>
        </m:r>
        <m:r>
          <m:t>9</m:t>
        </m:r>
      </m:oMath>
      <w:r>
        <w:t xml:space="preserve">3.09) — pressured by a higher tax provision and ~$5.5M of lease-restructuring charges. GAAP EPS can also swing on discrete tax items. Focus on the non-GAAP/ARR/FCF trend.</w:t>
      </w:r>
    </w:p>
    <w:p>
      <w:r>
        <w:pict>
          <v:rect style="width:0;height:1.5pt" o:hralign="center" o:hrstd="t" o:hr="t"/>
        </w:pict>
      </w:r>
    </w:p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Tyler heads into Q2 with a</w:t>
      </w:r>
      <w:r>
        <w:t xml:space="preserve"> </w:t>
      </w:r>
      <w:r>
        <w:rPr>
          <w:b/>
          <w:bCs/>
        </w:rPr>
        <w:t xml:space="preserve">healthy, high-visibility recurring-revenue business</w:t>
      </w:r>
      <w:r>
        <w:t xml:space="preserve"> </w:t>
      </w:r>
      <w:r>
        <w:t xml:space="preserve">(record SaaS, strong FCF, raised 2030 targets) trading at a</w:t>
      </w:r>
      <w:r>
        <w:t xml:space="preserve"> </w:t>
      </w:r>
      <w:r>
        <w:rPr>
          <w:b/>
          <w:bCs/>
        </w:rPr>
        <w:t xml:space="preserve">decade-cheap multiple</w:t>
      </w:r>
      <w:r>
        <w:t xml:space="preserve"> </w:t>
      </w:r>
      <w:r>
        <w:t xml:space="preserve">because of an unresolved market debate about AI disrupting government software. The likely fundamental print is "beat-and-reaffirm/modest-raise" quality — solid SaaS (streak intact), a</w:t>
      </w:r>
      <w:r>
        <w:t xml:space="preserve"> </w:t>
      </w:r>
      <w:r>
        <w:rPr>
          <w:b/>
          <w:bCs/>
        </w:rPr>
        <w:t xml:space="preserve">deliberately soft-looking transaction line</w:t>
      </w:r>
      <w:r>
        <w:t xml:space="preserve"> </w:t>
      </w:r>
      <w:r>
        <w:t xml:space="preserve">(Texas roll-off), first-full-quarter FTR, and continued margin/FCF progress.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asymmetry is in the narrative</w:t>
      </w:r>
      <w:r>
        <w:t xml:space="preserve">: with the stock already up double digits into the print on a software rotation and analysts modeling ~30–40% upside to targets, the reaction will be driven by</w:t>
      </w:r>
      <w:r>
        <w:t xml:space="preserve"> </w:t>
      </w:r>
      <w:r>
        <w:rPr>
          <w:b/>
          <w:bCs/>
        </w:rPr>
        <w:t xml:space="preserve">whether management can add fresh, quantified AI-monetization proof points</w:t>
      </w:r>
      <w:r>
        <w:t xml:space="preserve"> </w:t>
      </w:r>
      <w:r>
        <w:t xml:space="preserve">and defend the durability of the 10–12% recurring-revenue / low-30s FCF-margin path — not by the reported EPS. A clean quarter with better AI/flip commentary could sustain the re-rating; any wobble in SaaS durability or flip momentum would hand the AI-disruption bears fresh ammunition.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2026-07-29T02:13:06Z</dcterms:created>
  <dcterms:modified xsi:type="dcterms:W3CDTF">2026-07-29T02:13:06Z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