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yl-earnings-predictions--2026-07-29"/>
    <w:p>
      <w:pPr>
        <w:pStyle w:val="Heading1"/>
      </w:pPr>
      <w:r>
        <w:t xml:space="preserve">TYL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3.18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SaaS Revenue Growth y/y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~22% (~</w:t>
            </w:r>
            <m:oMath>
              <m:r>
                <m:t>231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19</m:t>
              </m:r>
            </m:oMath>
            <w:r>
              <w:t xml:space="preserve">226M)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2.535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2.575B (mid</w:t>
            </w:r>
            <w:r>
              <w:t xml:space="preserve"> </w:t>
            </w:r>
            <m:oMath>
              <m:r>
                <m:t>2.555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12.80</m:t>
              </m:r>
              <m:r>
                <m:rPr>
                  <m:sty m:val="p"/>
                </m:rPr>
                <m:t>−</m:t>
              </m:r>
            </m:oMath>
            <w:r>
              <w:t xml:space="preserve">13.05 (mid</w:t>
            </w:r>
            <w:r>
              <w:t xml:space="preserve"> </w:t>
            </w:r>
            <m:oMath>
              <m:r>
                <m:t>12.93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SaaS growth streak / bookings momentum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~22%+ SaaS growth (23rd straight 20%+ quarter) vs. cons ~19% implied deceleration (Q3 2026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Stock already ran +12% in the two sessions into the print (297→333) on a broad SaaS/software rotation trade rather than TYL-specific news, front-loading much of the 'beat-and-raise' optimism. With FY26 guidance already lifted twice this year (April for FTR M&amp;A, May/June for convert-driven accretion) and EPS explicitly back-half weighted (~53% in H2), a solid Q2 print is unlikely to trigger a third raise, capping the incremental read-through to out-period (H2/FY27) estimates. Absent fresh AI-monetization proof points or an upside guide, the pre-print 'hope rally' likely partially unwinds over the following days, mirroring the Q1 pattern where an initial post-earnings pop (~+4.5% residual) reversed almost immediately and gave way to weeks of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2026-07-29T02:13:54Z</dcterms:created>
  <dcterms:modified xsi:type="dcterms:W3CDTF">2026-07-29T02:13:54Z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