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215a402a2cf86c6a6019edbdd72a3e01095f2af"/>
    <w:p>
      <w:pPr>
        <w:pStyle w:val="Heading1"/>
      </w:pPr>
      <w:r>
        <w:t xml:space="preserve">Tyler Technologies (TYL) — Q2 2026 Earnings Preview</w:t>
      </w:r>
    </w:p>
    <w:p>
      <w:pPr>
        <w:pStyle w:val="FirstParagraph"/>
      </w:pPr>
      <w:r>
        <w:rPr>
          <w:b/>
          <w:bCs/>
        </w:rPr>
        <w:t xml:space="preserve">Report Date:</w:t>
      </w:r>
      <w:r>
        <w:t xml:space="preserve"> </w:t>
      </w:r>
      <w:r>
        <w:t xml:space="preserve">July 29, 2026 (after market close) |</w:t>
      </w:r>
      <w:r>
        <w:t xml:space="preserve"> </w:t>
      </w:r>
      <w:r>
        <w:rPr>
          <w:b/>
          <w:bCs/>
        </w:rPr>
        <w:t xml:space="preserve">Call:</w:t>
      </w:r>
      <w:r>
        <w:t xml:space="preserve"> </w:t>
      </w:r>
      <w:r>
        <w:t xml:space="preserve">July 30, 2026, 10:00 a.m. ET (per historical practice; recent quarters have used pre-market calls, so confirm timing)</w:t>
      </w:r>
    </w:p>
    <w:p>
      <w:r>
        <w:pict>
          <v:rect style="width:0;height:1.5pt" o:hralign="center" o:hrstd="t" o:hr="t"/>
        </w:pict>
      </w:r>
    </w:p>
    <w:bookmarkStart w:id="9" w:name="setup-into-the-print"/>
    <w:p>
      <w:pPr>
        <w:pStyle w:val="Heading2"/>
      </w:pPr>
      <w:r>
        <w:t xml:space="preserve">Setup Into the Print</w:t>
      </w:r>
    </w:p>
    <w:p>
      <w:pPr>
        <w:pStyle w:val="FirstParagraph"/>
      </w:pPr>
      <w:r>
        <w:t xml:space="preserve">TYL heads into tomorrow's report with a stock that has been on a wild ride. After popping to roughly</w:t>
      </w:r>
      <w:r>
        <w:t xml:space="preserve"> </w:t>
      </w:r>
      <m:oMath>
        <m:r>
          <m:t>356</m:t>
        </m:r>
        <m:r>
          <m:t>f</m:t>
        </m:r>
        <m:r>
          <m:t>o</m:t>
        </m:r>
        <m:r>
          <m:t>l</m:t>
        </m:r>
        <m:r>
          <m:t>l</m:t>
        </m:r>
        <m:r>
          <m:t>o</m:t>
        </m:r>
        <m:r>
          <m:t>w</m:t>
        </m:r>
        <m:r>
          <m:t>i</m:t>
        </m:r>
        <m:r>
          <m:t>n</m:t>
        </m:r>
        <m:r>
          <m:t>g</m:t>
        </m:r>
        <m:r>
          <m:t>t</m:t>
        </m:r>
        <m:r>
          <m:t>h</m:t>
        </m:r>
        <m:r>
          <m:t>e</m:t>
        </m:r>
        <m:r>
          <m:t>s</m:t>
        </m:r>
        <m:r>
          <m:t>t</m:t>
        </m:r>
        <m:r>
          <m:t>r</m:t>
        </m:r>
        <m:r>
          <m:t>o</m:t>
        </m:r>
        <m:r>
          <m:t>n</m:t>
        </m:r>
        <m:r>
          <m:t>g</m:t>
        </m:r>
        <m:r>
          <m:t>Q</m:t>
        </m:r>
        <m:r>
          <m:t>1</m:t>
        </m:r>
        <m:r>
          <m:t>2026</m:t>
        </m:r>
        <m:r>
          <m:t>b</m:t>
        </m:r>
        <m:r>
          <m:t>e</m:t>
        </m:r>
        <m:r>
          <m:t>a</m:t>
        </m:r>
        <m:r>
          <m:t>t</m:t>
        </m:r>
        <m:r>
          <m:rPr>
            <m:sty m:val="p"/>
          </m:rPr>
          <m:t>,</m:t>
        </m:r>
        <m:r>
          <m:t>s</m:t>
        </m:r>
        <m:r>
          <m:t>h</m:t>
        </m:r>
        <m:r>
          <m:t>a</m:t>
        </m:r>
        <m:r>
          <m:t>r</m:t>
        </m:r>
        <m:r>
          <m:t>e</m:t>
        </m:r>
        <m:r>
          <m:t>s</m:t>
        </m:r>
        <m:r>
          <m:t>f</m:t>
        </m:r>
        <m:r>
          <m:t>e</m:t>
        </m:r>
        <m:r>
          <m:t>l</m:t>
        </m:r>
        <m:r>
          <m:t>l</m:t>
        </m:r>
        <m:r>
          <m:t>a</m:t>
        </m:r>
        <m:r>
          <m:t>s</m:t>
        </m:r>
        <m:r>
          <m:t>l</m:t>
        </m:r>
        <m:r>
          <m:t>o</m:t>
        </m:r>
        <m:r>
          <m:t>w</m:t>
        </m:r>
        <m:r>
          <m:t>a</m:t>
        </m:r>
        <m:r>
          <m:t>s</m:t>
        </m:r>
        <m:r>
          <m:t> </m:t>
        </m:r>
      </m:oMath>
      <w:r>
        <w:t xml:space="preserve">275 in mid-June before recovering to the low-$330s heading into earnings. A Motley Fool piece captured the bear narrative driving the multi-month selloff: the stock has fallen sharply "as investors flee SaaS stocks" on worries about whether AI/large language models could disrupt Tyler's government-software moat. The same piece noted the stock is now trading at roughly 25x forward earnings, "down from a five-year average in the mid-40s". A separate note observed shares were slipping further "as investors appear to take profits ahead of late-July earnings" — meaning positioning into this print is more cautious than it's been in years, which raises the bar for what the market will consider a "clean" quarter but also lowers the bar for a relief rally if fears prove overblown.</w:t>
      </w:r>
    </w:p>
    <w:bookmarkEnd w:id="9"/>
    <w:bookmarkStart w:id="10" w:name="X408becbd2b3efa762158027541cec99d9b12330"/>
    <w:p>
      <w:pPr>
        <w:pStyle w:val="Heading2"/>
      </w:pPr>
      <w:r>
        <w:t xml:space="preserve">What Happened Last Quarter (Q1 2026, reported April 29)</w:t>
      </w:r>
    </w:p>
    <w:p>
      <w:pPr>
        <w:pStyle w:val="FirstParagraph"/>
      </w:pPr>
      <w:r>
        <w:t xml:space="preserve">Tyler delivered a strong start to the year: total revenues of $613.5 million (+8.6% y/y), recurring revenues of $538.6 million (+10.4%), and SaaS revenue growth of 23.5% to $222.4 million — extending the company's streak to 21 consecutive quarters of 20%+ SaaS growth. ARR reached $2.15 billion (+10.4%), non-GAAP EPS was $3.09 (+9.3%), and free cash flow more than doubled to $102.8 million. Management called out a strong bookings quarter (even excluding a large transaction-funded DMV titling deal that doesn't hit bookings) and reiterated confidence in hitting or exceeding 2030 targets.</w:t>
      </w:r>
    </w:p>
    <w:bookmarkEnd w:id="10"/>
    <w:bookmarkStart w:id="11" w:name="Xd89532551a0e567184e305e0659e17f09912621"/>
    <w:p>
      <w:pPr>
        <w:pStyle w:val="Heading2"/>
      </w:pPr>
      <w:r>
        <w:t xml:space="preserve">Two Guidance Updates Since Q1 — Know the Moving Parts</w:t>
      </w:r>
    </w:p>
    <w:p>
      <w:pPr>
        <w:pStyle w:val="Compact"/>
        <w:numPr>
          <w:ilvl w:val="0"/>
          <w:numId w:val="1001"/>
        </w:numPr>
      </w:pPr>
      <w:r>
        <w:rPr>
          <w:b/>
          <w:bCs/>
        </w:rPr>
        <w:t xml:space="preserve">April 29 (Q1 release):</w:t>
      </w:r>
      <w:r>
        <w:t xml:space="preserve"> </w:t>
      </w:r>
      <w:r>
        <w:t xml:space="preserve">FY26 guidance was raised to reflect the April 14 acquisition of</w:t>
      </w:r>
      <w:r>
        <w:t xml:space="preserve"> </w:t>
      </w:r>
      <w:r>
        <w:rPr>
          <w:b/>
          <w:bCs/>
        </w:rPr>
        <w:t xml:space="preserve">For The Record</w:t>
      </w:r>
      <w:r>
        <w:t xml:space="preserve"> </w:t>
      </w:r>
      <w:r>
        <w:t xml:space="preserve">(~$223M cash, third-largest deal in Tyler's history, adding legal-grade transcription/speech-to-text to the justice portfolio). New FY26 guide: total revenue</w:t>
      </w:r>
      <w:r>
        <w:t xml:space="preserve"> </w:t>
      </w:r>
      <m:oMath>
        <m:r>
          <m:t>2.535</m:t>
        </m:r>
        <m:r>
          <m:t>B</m:t>
        </m:r>
        <m:r>
          <m:rPr>
            <m:sty m:val="p"/>
          </m:rPr>
          <m:t>–</m:t>
        </m:r>
      </m:oMath>
      <w:r>
        <w:t xml:space="preserve">2.575B, non-GAAP EPS</w:t>
      </w:r>
      <w:r>
        <w:t xml:space="preserve"> </w:t>
      </w:r>
      <m:oMath>
        <m:r>
          <m:t>12.50</m:t>
        </m:r>
        <m:r>
          <m:rPr>
            <m:sty m:val="p"/>
          </m:rPr>
          <m:t>–</m:t>
        </m:r>
      </m:oMath>
      <w:r>
        <w:t xml:space="preserve">12.75, FCF margin 26–28%.</w:t>
      </w:r>
    </w:p>
    <w:p>
      <w:pPr>
        <w:pStyle w:val="Compact"/>
        <w:numPr>
          <w:ilvl w:val="0"/>
          <w:numId w:val="1001"/>
        </w:numPr>
      </w:pPr>
      <w:r>
        <w:rPr>
          <w:b/>
          <w:bCs/>
        </w:rPr>
        <w:t xml:space="preserve">May 2026:</w:t>
      </w:r>
      <w:r>
        <w:t xml:space="preserve"> </w:t>
      </w:r>
      <w:r>
        <w:t xml:space="preserve">Tyler issued</w:t>
      </w:r>
      <w:r>
        <w:t xml:space="preserve"> </w:t>
      </w:r>
      <m:oMath>
        <m:r>
          <m:t>1.4375</m:t>
        </m:r>
        <m:r>
          <m:t>b</m:t>
        </m:r>
        <m:r>
          <m:t>i</m:t>
        </m:r>
        <m:r>
          <m:t>l</m:t>
        </m:r>
        <m:r>
          <m:t>l</m:t>
        </m:r>
        <m:r>
          <m:t>i</m:t>
        </m:r>
        <m:r>
          <m:t>o</m:t>
        </m:r>
        <m:r>
          <m:t>n</m:t>
        </m:r>
        <m:r>
          <m:t>o</m:t>
        </m:r>
        <m:r>
          <m:t>f</m:t>
        </m:r>
        <m:r>
          <m:t>0.50</m:t>
        </m:r>
      </m:oMath>
      <w:r>
        <w:rPr>
          <w:b/>
          <w:bCs/>
        </w:rPr>
        <w:t xml:space="preserve">405.94, capped call cap price ~</w:t>
      </w:r>
      <m:oMath>
        <m:r>
          <m:t>655.77</m:t>
        </m:r>
        <m:r>
          <m:rPr>
            <m:sty m:val="p"/>
          </m:rPr>
          <m:t>)</m:t>
        </m:r>
        <m:r>
          <m:t>a</m:t>
        </m:r>
        <m:r>
          <m:t>n</m:t>
        </m:r>
        <m:r>
          <m:t>d</m:t>
        </m:r>
        <m:r>
          <m:t>u</m:t>
        </m:r>
        <m:r>
          <m:t>s</m:t>
        </m:r>
        <m:r>
          <m:t>e</m:t>
        </m:r>
        <m:r>
          <m:t>d</m:t>
        </m:r>
        <m:r>
          <m:t>p</m:t>
        </m:r>
        <m:r>
          <m:t>r</m:t>
        </m:r>
        <m:r>
          <m:t>o</m:t>
        </m:r>
        <m:r>
          <m:t>c</m:t>
        </m:r>
        <m:r>
          <m:t>e</m:t>
        </m:r>
        <m:r>
          <m:t>e</m:t>
        </m:r>
        <m:r>
          <m:t>d</m:t>
        </m:r>
        <m:r>
          <m:t>s</m:t>
        </m:r>
        <m:r>
          <m:t>t</m:t>
        </m:r>
        <m:r>
          <m:t>o</m:t>
        </m:r>
        <m:r>
          <m:t>r</m:t>
        </m:r>
        <m:r>
          <m:t>e</m:t>
        </m:r>
        <m:r>
          <m:t>p</m:t>
        </m:r>
        <m:r>
          <m:t>u</m:t>
        </m:r>
        <m:r>
          <m:t>r</m:t>
        </m:r>
        <m:r>
          <m:t>c</m:t>
        </m:r>
        <m:r>
          <m:t>h</m:t>
        </m:r>
        <m:r>
          <m:t>a</m:t>
        </m:r>
        <m:r>
          <m:t>s</m:t>
        </m:r>
        <m:r>
          <m:t>e</m:t>
        </m:r>
        <m:r>
          <m:t>o</m:t>
        </m:r>
        <m:r>
          <m:t>v</m:t>
        </m:r>
        <m:r>
          <m:t>e</m:t>
        </m:r>
        <m:r>
          <m:t>r</m:t>
        </m:r>
        <m:r>
          <m:t>1</m:t>
        </m:r>
        <m:r>
          <m:t>m</m:t>
        </m:r>
        <m:r>
          <m:t>i</m:t>
        </m:r>
        <m:r>
          <m:t>l</m:t>
        </m:r>
        <m:r>
          <m:t>l</m:t>
        </m:r>
        <m:r>
          <m:t>i</m:t>
        </m:r>
        <m:r>
          <m:t>o</m:t>
        </m:r>
        <m:r>
          <m:t>n</m:t>
        </m:r>
        <m:r>
          <m:t>s</m:t>
        </m:r>
        <m:r>
          <m:t>h</m:t>
        </m:r>
        <m:r>
          <m:t>a</m:t>
        </m:r>
        <m:r>
          <m:t>r</m:t>
        </m:r>
        <m:r>
          <m:t>e</m:t>
        </m:r>
        <m:r>
          <m:t>s</m:t>
        </m:r>
        <m:r>
          <m:rPr>
            <m:sty m:val="p"/>
          </m:rPr>
          <m:t>(</m:t>
        </m:r>
        <m:r>
          <m:t> </m:t>
        </m:r>
      </m:oMath>
      <w:r>
        <w:rPr>
          <w:b/>
          <w:bCs/>
        </w:rPr>
        <w:t xml:space="preserve">320.7M) on the pricing day alone, plus extended/upsized its revolver to $1 billion. At the June 9 Investor Day, CFO Brian Miller said this financing is</w:t>
      </w:r>
      <w:r>
        <w:rPr>
          <w:b/>
          <w:bCs/>
        </w:rPr>
        <w:t xml:space="preserve"> </w:t>
      </w:r>
      <w:r>
        <w:rPr>
          <w:b/>
          <w:b/>
          <w:bCs/>
          <w:bCs/>
        </w:rPr>
        <w:t xml:space="preserve">accretive</w:t>
      </w:r>
      <w:r>
        <w:rPr>
          <w:b/>
          <w:bCs/>
        </w:rPr>
        <w:t xml:space="preserve"> </w:t>
      </w:r>
      <w:r>
        <w:rPr>
          <w:b/>
          <w:bCs/>
        </w:rPr>
        <w:t xml:space="preserve">and the company raised</w:t>
      </w:r>
      <w:r>
        <w:rPr>
          <w:b/>
          <w:bCs/>
        </w:rPr>
        <w:t xml:space="preserve"> </w:t>
      </w:r>
      <w:r>
        <w:rPr>
          <w:b/>
          <w:b/>
          <w:bCs/>
          <w:bCs/>
        </w:rPr>
        <w:t xml:space="preserve">both ends of full-year EPS guidance by</w:t>
      </w:r>
      <w:r>
        <w:rPr>
          <w:b/>
          <w:b/>
          <w:bCs/>
          <w:bCs/>
        </w:rPr>
        <w:t xml:space="preserve"> </w:t>
      </w:r>
      <m:oMath>
        <m:r>
          <m:t>0.30</m:t>
        </m:r>
        <m:r>
          <m:rPr>
            <m:sty m:val="p"/>
          </m:rPr>
          <m:t>*</m:t>
        </m:r>
        <m:r>
          <m:rPr>
            <m:sty m:val="p"/>
          </m:rPr>
          <m:t>*</m:t>
        </m:r>
        <m:r>
          <m:t>o</m:t>
        </m:r>
        <m:r>
          <m:t>n</m:t>
        </m:r>
        <m:r>
          <m:t>h</m:t>
        </m:r>
        <m:r>
          <m:t>i</m:t>
        </m:r>
        <m:r>
          <m:t>g</m:t>
        </m:r>
        <m:r>
          <m:t>h</m:t>
        </m:r>
        <m:r>
          <m:t>e</m:t>
        </m:r>
        <m:r>
          <m:t>r</m:t>
        </m:r>
        <m:r>
          <m:t>n</m:t>
        </m:r>
        <m:r>
          <m:t>e</m:t>
        </m:r>
        <m:r>
          <m:t>t</m:t>
        </m:r>
        <m:r>
          <m:t>i</m:t>
        </m:r>
        <m:r>
          <m:t>n</m:t>
        </m:r>
        <m:r>
          <m:t>t</m:t>
        </m:r>
        <m:r>
          <m:t>e</m:t>
        </m:r>
        <m:r>
          <m:t>r</m:t>
        </m:r>
        <m:r>
          <m:t>e</m:t>
        </m:r>
        <m:r>
          <m:t>s</m:t>
        </m:r>
        <m:r>
          <m:t>t</m:t>
        </m:r>
        <m:r>
          <m:t>i</m:t>
        </m:r>
        <m:r>
          <m:t>n</m:t>
        </m:r>
        <m:r>
          <m:t>c</m:t>
        </m:r>
        <m:r>
          <m:t>o</m:t>
        </m:r>
        <m:r>
          <m:t>m</m:t>
        </m:r>
        <m:r>
          <m:t>e</m:t>
        </m:r>
        <m:r>
          <m:t>a</m:t>
        </m:r>
        <m:r>
          <m:t>n</m:t>
        </m:r>
        <m:r>
          <m:t>d</m:t>
        </m:r>
        <m:r>
          <m:t>a</m:t>
        </m:r>
        <m:r>
          <m:t>l</m:t>
        </m:r>
        <m:r>
          <m:t>o</m:t>
        </m:r>
        <m:r>
          <m:t>w</m:t>
        </m:r>
        <m:r>
          <m:t>e</m:t>
        </m:r>
        <m:r>
          <m:t>r</m:t>
        </m:r>
        <m:r>
          <m:t>s</m:t>
        </m:r>
        <m:r>
          <m:t>h</m:t>
        </m:r>
        <m:r>
          <m:t>a</m:t>
        </m:r>
        <m:r>
          <m:t>r</m:t>
        </m:r>
        <m:r>
          <m:t>e</m:t>
        </m:r>
        <m:r>
          <m:t>c</m:t>
        </m:r>
        <m:r>
          <m:t>o</m:t>
        </m:r>
        <m:r>
          <m:t>u</m:t>
        </m:r>
        <m:r>
          <m:t>n</m:t>
        </m:r>
        <m:r>
          <m:t>t</m:t>
        </m:r>
        <m:r>
          <m:rPr>
            <m:sty m:val="p"/>
          </m:rPr>
          <m:t>—</m:t>
        </m:r>
        <m:r>
          <m:t>i</m:t>
        </m:r>
        <m:r>
          <m:t>m</m:t>
        </m:r>
        <m:r>
          <m:t>p</m:t>
        </m:r>
        <m:r>
          <m:t>l</m:t>
        </m:r>
        <m:r>
          <m:t>y</m:t>
        </m:r>
        <m:r>
          <m:t>i</m:t>
        </m:r>
        <m:r>
          <m:t>n</m:t>
        </m:r>
        <m:r>
          <m:t>g</m:t>
        </m:r>
        <m:r>
          <m:t>a</m:t>
        </m:r>
        <m:r>
          <m:t>n</m:t>
        </m:r>
        <m:r>
          <m:t>e</m:t>
        </m:r>
        <m:r>
          <m:t>w</m:t>
        </m:r>
        <m:r>
          <m:t>r</m:t>
        </m:r>
        <m:r>
          <m:t>a</m:t>
        </m:r>
        <m:r>
          <m:t>n</m:t>
        </m:r>
        <m:r>
          <m:t>g</m:t>
        </m:r>
        <m:r>
          <m:t>e</m:t>
        </m:r>
        <m:r>
          <m:t>a</m:t>
        </m:r>
        <m:r>
          <m:t>r</m:t>
        </m:r>
        <m:r>
          <m:t>o</m:t>
        </m:r>
        <m:r>
          <m:t>u</m:t>
        </m:r>
        <m:r>
          <m:t>n</m:t>
        </m:r>
        <m:r>
          <m:t>d</m:t>
        </m:r>
        <m:r>
          <m:rPr>
            <m:sty m:val="p"/>
          </m:rPr>
          <m:t>*</m:t>
        </m:r>
        <m:r>
          <m:rPr>
            <m:sty m:val="p"/>
          </m:rPr>
          <m:t>*</m:t>
        </m:r>
      </m:oMath>
      <w:r>
        <w:rPr>
          <w:b/>
          <w:b/>
          <w:bCs/>
          <w:bCs/>
        </w:rPr>
        <w:t xml:space="preserve">12.80–$13.05</w:t>
      </w:r>
      <w:r>
        <w:rPr>
          <w:b/>
          <w:bCs/>
        </w:rPr>
        <w:t xml:space="preserve">. Note: full-year earnings are now expected to be more back-half weighted, with **~53% of full-year EPS landing in H2 2026</w:t>
      </w:r>
      <w:r>
        <w:t xml:space="preserve"> </w:t>
      </w:r>
      <w:r>
        <w:t xml:space="preserve">— a detail that matters for how Q2 numbers should be read relative to consensus.</w:t>
      </w:r>
    </w:p>
    <w:bookmarkEnd w:id="11"/>
    <w:bookmarkStart w:id="12" w:name="X67da5dcb7375970ff1c916645fea4a2325a76b7"/>
    <w:p>
      <w:pPr>
        <w:pStyle w:val="Heading2"/>
      </w:pPr>
      <w:r>
        <w:t xml:space="preserve">Investor Day Recap (June 9) — Raised 2030 Targets</w:t>
      </w:r>
    </w:p>
    <w:p>
      <w:pPr>
        <w:pStyle w:val="FirstParagraph"/>
      </w:pPr>
      <w:r>
        <w:t xml:space="preserve">At its first Investor Day in three years, management raised long-term targets: 2030 ARR target moved to the high end of the prior range (</w:t>
      </w:r>
      <m:oMath>
        <m:r>
          <m:t>3.3</m:t>
        </m:r>
        <m:r>
          <m:t>B</m:t>
        </m:r>
        <m:r>
          <m:rPr>
            <m:sty m:val="p"/>
          </m:rPr>
          <m:t>–</m:t>
        </m:r>
      </m:oMath>
      <w:r>
        <w:t xml:space="preserve">3.4B), 2030 free cash flow target raised to</w:t>
      </w:r>
      <w:r>
        <w:t xml:space="preserve"> </w:t>
      </w:r>
      <m:oMath>
        <m:r>
          <m:t>1.1</m:t>
        </m:r>
        <m:r>
          <m:t>B</m:t>
        </m:r>
        <m:r>
          <m:rPr>
            <m:sty m:val="p"/>
          </m:rPr>
          <m:t>–</m:t>
        </m:r>
      </m:oMath>
      <w:r>
        <w:rPr>
          <w:b/>
          <w:bCs/>
        </w:rPr>
        <w:t xml:space="preserve">1.2B</w:t>
      </w:r>
      <w:r>
        <w:t xml:space="preserve"> </w:t>
      </w:r>
      <w:r>
        <w:t xml:space="preserve">(from $1B), operating margin target raised to the</w:t>
      </w:r>
      <w:r>
        <w:t xml:space="preserve"> </w:t>
      </w:r>
      <w:r>
        <w:rPr>
          <w:b/>
          <w:bCs/>
        </w:rPr>
        <w:t xml:space="preserve">mid-30s</w:t>
      </w:r>
      <w:r>
        <w:t xml:space="preserve"> </w:t>
      </w:r>
      <w:r>
        <w:t xml:space="preserve">(from 30%), and FCF margin target raised to the</w:t>
      </w:r>
      <w:r>
        <w:t xml:space="preserve"> </w:t>
      </w:r>
      <w:r>
        <w:rPr>
          <w:b/>
          <w:bCs/>
        </w:rPr>
        <w:t xml:space="preserve">low 30s</w:t>
      </w:r>
      <w:r>
        <w:t xml:space="preserve"> </w:t>
      </w:r>
      <w:r>
        <w:t xml:space="preserve">(from high-20s). Management reiterated the core algorithm: 10–12% recurring revenue CAGR and 85% of on-premise maintenance dollars converted to SaaS by 2030 (each flip yields ~1.7x revenue uplift), plus a new "Cloud Living" initiative (single-version, biweekly release cadence) targeted for pilot rollout starting in 2027. Notably, none of these targets embed incremental AI monetization — management called that "upside," not baseline.</w:t>
      </w:r>
    </w:p>
    <w:bookmarkEnd w:id="12"/>
    <w:bookmarkStart w:id="13" w:name="consensus-expectations-for-q2-2026"/>
    <w:p>
      <w:pPr>
        <w:pStyle w:val="Heading2"/>
      </w:pPr>
      <w:r>
        <w:t xml:space="preserve">Consensus Expectations for Q2 2026</w:t>
      </w:r>
    </w:p>
    <w:p>
      <w:pPr>
        <w:pStyle w:val="FirstParagraph"/>
      </w:pPr>
      <w:r>
        <w:t xml:space="preserve">Per Zacks-sourced consensus reported ahead of the print, "the Zacks Consensus Estimate for second-quarter revenues is pegged at $647 million, implying an 8.53% increase from the year-ago quarter," while "the consensus mark for earnings is pegged at $3.09 per share" versus $2.91 non-GAAP EPS in Q2 2025 — modest single-digit growth (a separate estimate put the numbers slightly higher, near</w:t>
      </w:r>
      <w:r>
        <w:t xml:space="preserve"> </w:t>
      </w:r>
      <m:oMath>
        <m:r>
          <m:t>649</m:t>
        </m:r>
        <m:r>
          <m:t>M</m:t>
        </m:r>
        <m:r>
          <m:rPr>
            <m:sty m:val="p"/>
          </m:rPr>
          <m:t>/</m:t>
        </m:r>
      </m:oMath>
      <w:r>
        <w:t xml:space="preserve">3.19). For context, Q2 2025 actuals were: total revenue $596.1M (+10.2%), SaaS revenue $189.6M (+21.5%), ARR $2.07B (+15.2%), non-GAAP operating margin 26.5%, and free cash flow of $88.0M. The bar for SaaS growth (21+ consecutive quarters above 20%) and bookings acceleration will be closely watched as the key growth-durability signal.</w:t>
      </w:r>
    </w:p>
    <w:bookmarkEnd w:id="13"/>
    <w:bookmarkStart w:id="14" w:name="key-things-to-watch-in-the-printcall"/>
    <w:p>
      <w:pPr>
        <w:pStyle w:val="Heading2"/>
      </w:pPr>
      <w:r>
        <w:t xml:space="preserve">Key Things to Watch in the Print/Call</w:t>
      </w:r>
    </w:p>
    <w:p>
      <w:pPr>
        <w:pStyle w:val="Compact"/>
        <w:numPr>
          <w:ilvl w:val="0"/>
          <w:numId w:val="1002"/>
        </w:numPr>
      </w:pPr>
      <w:r>
        <w:rPr>
          <w:b/>
          <w:bCs/>
        </w:rPr>
        <w:t xml:space="preserve">SaaS growth cadence and bookings</w:t>
      </w:r>
      <w:r>
        <w:t xml:space="preserve"> </w:t>
      </w:r>
      <w:r>
        <w:t xml:space="preserve">— Does the 20%+ SaaS growth streak extend, and does bookings momentum (strong in Q1, aided by public safety fully embracing cloud) continue without large one-off deals skewing the print?</w:t>
      </w:r>
    </w:p>
    <w:p>
      <w:pPr>
        <w:pStyle w:val="Compact"/>
        <w:numPr>
          <w:ilvl w:val="0"/>
          <w:numId w:val="1002"/>
        </w:numPr>
      </w:pPr>
      <w:r>
        <w:rPr>
          <w:b/>
          <w:bCs/>
        </w:rPr>
        <w:t xml:space="preserve">Cloud flip pace</w:t>
      </w:r>
      <w:r>
        <w:t xml:space="preserve"> </w:t>
      </w:r>
      <w:r>
        <w:t xml:space="preserve">— Management guided to higher flip</w:t>
      </w:r>
      <w:r>
        <w:t xml:space="preserve"> </w:t>
      </w:r>
      <w:r>
        <w:rPr>
          <w:i/>
          <w:iCs/>
        </w:rPr>
        <w:t xml:space="preserve">dollar volume</w:t>
      </w:r>
      <w:r>
        <w:t xml:space="preserve"> </w:t>
      </w:r>
      <w:r>
        <w:t xml:space="preserve">in 2026 vs. 2025, with the real inflection expected in the 2027–2029 window; any commentary on pacing or new incentives ("carrots" shifting toward "disincentives," including cloud-only AI features and a 2028 planning deadline for remaining on-prem clients) will be a datapoint on execution.</w:t>
      </w:r>
    </w:p>
    <w:p>
      <w:pPr>
        <w:pStyle w:val="Compact"/>
        <w:numPr>
          <w:ilvl w:val="0"/>
          <w:numId w:val="1002"/>
        </w:numPr>
      </w:pPr>
      <w:r>
        <w:rPr>
          <w:b/>
          <w:bCs/>
        </w:rPr>
        <w:t xml:space="preserve">AI monetization proof points</w:t>
      </w:r>
      <w:r>
        <w:t xml:space="preserve"> </w:t>
      </w:r>
      <w:r>
        <w:t xml:space="preserve">— Management highlighted early wins (Tarrant County document automation, City of Doral, Placer County) showing 20%–100%+ ARR uplift from add-on AI modules, but conceded this remains "very early innings" and not yet embedded in guidance. Any acceleration in agent deployment (targeting 25 agents in production by year-end across 100% of flagship products) would help counter the market's disruption narrative.</w:t>
      </w:r>
    </w:p>
    <w:p>
      <w:pPr>
        <w:pStyle w:val="Compact"/>
        <w:numPr>
          <w:ilvl w:val="0"/>
          <w:numId w:val="1002"/>
        </w:numPr>
      </w:pPr>
      <w:r>
        <w:rPr>
          <w:b/>
          <w:bCs/>
        </w:rPr>
        <w:t xml:space="preserve">Competitive/disruption narrative</w:t>
      </w:r>
      <w:r>
        <w:t xml:space="preserve"> </w:t>
      </w:r>
      <w:r>
        <w:t xml:space="preserve">— Expect questions on whether agentic coding tools (e.g., from frontier AI labs) marketed directly to state/local governments are pressuring win rates or extending sales cycles; management has pushed back hard on this, citing client data-security concerns and Tyler's trust/distribution moat.</w:t>
      </w:r>
    </w:p>
    <w:p>
      <w:pPr>
        <w:pStyle w:val="Compact"/>
        <w:numPr>
          <w:ilvl w:val="0"/>
          <w:numId w:val="1002"/>
        </w:numPr>
      </w:pPr>
      <w:r>
        <w:rPr>
          <w:b/>
          <w:bCs/>
        </w:rPr>
        <w:t xml:space="preserve">Margins</w:t>
      </w:r>
      <w:r>
        <w:t xml:space="preserve"> </w:t>
      </w:r>
      <w:r>
        <w:t xml:space="preserve">— Track non-GAAP operating margin progress toward the new mid-30s 2030 target; Q1 non-GAAP operating margin was 27.2%, up from 26.8% a year ago, driven by cloud efficiency and version consolidation (management noted ~30% of R&amp;D/support cost today is tied to servicing non-current product versions).</w:t>
      </w:r>
    </w:p>
    <w:p>
      <w:pPr>
        <w:pStyle w:val="Compact"/>
        <w:numPr>
          <w:ilvl w:val="0"/>
          <w:numId w:val="1002"/>
        </w:numPr>
      </w:pPr>
      <w:r>
        <w:rPr>
          <w:b/>
          <w:bCs/>
        </w:rPr>
        <w:t xml:space="preserve">Transaction revenue</w:t>
      </w:r>
      <w:r>
        <w:t xml:space="preserve"> </w:t>
      </w:r>
      <w:r>
        <w:t xml:space="preserve">— Watch for updates on the ~$20M+/year statewide digital motor vehicle titling contract signed in Q1 (revenue starts H1 2027) and broader transaction-funded software momentum (targeting a shift from mid-20s to 40%+ payment attach rates by 2030).</w:t>
      </w:r>
    </w:p>
    <w:p>
      <w:pPr>
        <w:pStyle w:val="Compact"/>
        <w:numPr>
          <w:ilvl w:val="0"/>
          <w:numId w:val="1002"/>
        </w:numPr>
      </w:pPr>
      <w:r>
        <w:rPr>
          <w:b/>
          <w:bCs/>
        </w:rPr>
        <w:t xml:space="preserve">Capital allocation</w:t>
      </w:r>
      <w:r>
        <w:t xml:space="preserve"> </w:t>
      </w:r>
      <w:r>
        <w:t xml:space="preserve">— Tyler has repurchased roughly 2.5%+ of shares outstanding YTD (as of the April update, before the additional ~1M-share buyback tied to the convert issuance), with ~$650M+ remaining under the $1B authorization as of Q1. Any updated buyback commentary matters given management's view (stated at Investor Day) that the current share price does not reflect full intrinsic value.</w:t>
      </w:r>
    </w:p>
    <w:p>
      <w:pPr>
        <w:pStyle w:val="Compact"/>
        <w:numPr>
          <w:ilvl w:val="0"/>
          <w:numId w:val="1002"/>
        </w:numPr>
      </w:pPr>
      <w:r>
        <w:rPr>
          <w:b/>
          <w:bCs/>
        </w:rPr>
        <w:t xml:space="preserve">FTR integration</w:t>
      </w:r>
      <w:r>
        <w:t xml:space="preserve"> </w:t>
      </w:r>
      <w:r>
        <w:t xml:space="preserve">— Early commentary on how the acquisition's own SaaS transition and cross-sell into Tyler's court client base is tracking against the ~</w:t>
      </w:r>
      <m:oMath>
        <m:r>
          <m:t>30</m:t>
        </m:r>
        <m:r>
          <m:t>M</m:t>
        </m:r>
        <m:r>
          <m:t>2026</m:t>
        </m:r>
        <m:r>
          <m:t>r</m:t>
        </m:r>
        <m:r>
          <m:t>e</m:t>
        </m:r>
        <m:r>
          <m:t>v</m:t>
        </m:r>
        <m:r>
          <m:t>e</m:t>
        </m:r>
        <m:r>
          <m:t>n</m:t>
        </m:r>
        <m:r>
          <m:t>u</m:t>
        </m:r>
        <m:r>
          <m:t>e</m:t>
        </m:r>
        <m:r>
          <m:t>c</m:t>
        </m:r>
        <m:r>
          <m:t>o</m:t>
        </m:r>
        <m:r>
          <m:t>n</m:t>
        </m:r>
        <m:r>
          <m:t>t</m:t>
        </m:r>
        <m:r>
          <m:t>r</m:t>
        </m:r>
        <m:r>
          <m:t>i</m:t>
        </m:r>
        <m:r>
          <m:t>b</m:t>
        </m:r>
        <m:r>
          <m:t>u</m:t>
        </m:r>
        <m:r>
          <m:t>t</m:t>
        </m:r>
        <m:r>
          <m:t>i</m:t>
        </m:r>
        <m:r>
          <m:t>o</m:t>
        </m:r>
        <m:r>
          <m:t>n</m:t>
        </m:r>
        <m:r>
          <m:t>a</m:t>
        </m:r>
        <m:r>
          <m:t>n</m:t>
        </m:r>
        <m:r>
          <m:t>d</m:t>
        </m:r>
        <m:r>
          <m:t>t</m:t>
        </m:r>
        <m:r>
          <m:t>h</m:t>
        </m:r>
        <m:r>
          <m:t>e</m:t>
        </m:r>
        <m:r>
          <m:t>m</m:t>
        </m:r>
        <m:r>
          <m:t>u</m:t>
        </m:r>
        <m:r>
          <m:t>l</m:t>
        </m:r>
        <m:r>
          <m:t>t</m:t>
        </m:r>
        <m:r>
          <m:t>i</m:t>
        </m:r>
        <m:r>
          <m:rPr>
            <m:sty m:val="p"/>
          </m:rPr>
          <m:t>−</m:t>
        </m:r>
        <m:r>
          <m:t>h</m:t>
        </m:r>
        <m:r>
          <m:t>u</m:t>
        </m:r>
        <m:r>
          <m:t>n</m:t>
        </m:r>
        <m:r>
          <m:t>d</m:t>
        </m:r>
        <m:r>
          <m:t>r</m:t>
        </m:r>
        <m:r>
          <m:t>e</m:t>
        </m:r>
        <m:r>
          <m:t>d</m:t>
        </m:r>
        <m:r>
          <m:rPr>
            <m:sty m:val="p"/>
          </m:rPr>
          <m:t>−</m:t>
        </m:r>
        <m:r>
          <m:t>m</m:t>
        </m:r>
        <m:r>
          <m:t>i</m:t>
        </m:r>
        <m:r>
          <m:t>l</m:t>
        </m:r>
        <m:r>
          <m:t>l</m:t>
        </m:r>
        <m:r>
          <m:t>i</m:t>
        </m:r>
        <m:r>
          <m:t>o</m:t>
        </m:r>
        <m:r>
          <m:t>n</m:t>
        </m:r>
        <m:r>
          <m:rPr>
            <m:sty m:val="p"/>
          </m:rPr>
          <m:t>−</m:t>
        </m:r>
        <m:r>
          <m:t>t</m:t>
        </m:r>
        <m:r>
          <m:t>o</m:t>
        </m:r>
        <m:r>
          <m:rPr>
            <m:sty m:val="p"/>
          </m:rPr>
          <m:t>−</m:t>
        </m:r>
      </m:oMath>
      <w:r>
        <w:t xml:space="preserve">1B+ TAM expansion story management laid out.</w:t>
      </w:r>
    </w:p>
    <w:bookmarkEnd w:id="14"/>
    <w:bookmarkStart w:id="15" w:name="balance-sheet--capital-structure-notes"/>
    <w:p>
      <w:pPr>
        <w:pStyle w:val="Heading2"/>
      </w:pPr>
      <w:r>
        <w:t xml:space="preserve">Balance Sheet / Capital Structure Notes</w:t>
      </w:r>
    </w:p>
    <w:p>
      <w:pPr>
        <w:pStyle w:val="FirstParagraph"/>
      </w:pPr>
      <w:r>
        <w:t xml:space="preserve">Tyler repaid its $600 million convertible notes at maturity in March, then issued</w:t>
      </w:r>
      <w:r>
        <w:t xml:space="preserve"> </w:t>
      </w:r>
      <m:oMath>
        <m:r>
          <m:t>1.4375</m:t>
        </m:r>
        <m:r>
          <m:t>b</m:t>
        </m:r>
        <m:r>
          <m:t>i</m:t>
        </m:r>
        <m:r>
          <m:t>l</m:t>
        </m:r>
        <m:r>
          <m:t>l</m:t>
        </m:r>
        <m:r>
          <m:t>i</m:t>
        </m:r>
        <m:r>
          <m:t>o</m:t>
        </m:r>
        <m:r>
          <m:t>n</m:t>
        </m:r>
        <m:r>
          <m:t>o</m:t>
        </m:r>
        <m:r>
          <m:t>f</m:t>
        </m:r>
        <m:r>
          <m:t>n</m:t>
        </m:r>
        <m:r>
          <m:t>e</m:t>
        </m:r>
        <m:r>
          <m:t>w</m:t>
        </m:r>
        <m:r>
          <m:t>0.50</m:t>
        </m:r>
      </m:oMath>
      <w:r>
        <w:t xml:space="preserve">405.94), using part of the proceeds for opportunistic buybacks and entering capped-call transactions (cap price ~$655.77) to limit dilution. As of Q1-end, cash and equivalents stood at $316.0 million after the debt repayment and buybacks, with total liabilities of $1.24 billion versus</w:t>
      </w:r>
      <w:r>
        <w:t xml:space="preserve"> </w:t>
      </w:r>
      <m:oMath>
        <m:r>
          <m:t>4.8</m:t>
        </m:r>
        <m:r>
          <m:t>b</m:t>
        </m:r>
        <m:r>
          <m:t>i</m:t>
        </m:r>
        <m:r>
          <m:t>l</m:t>
        </m:r>
        <m:r>
          <m:t>l</m:t>
        </m:r>
        <m:r>
          <m:t>i</m:t>
        </m:r>
        <m:r>
          <m:t>o</m:t>
        </m:r>
        <m:r>
          <m:t>n</m:t>
        </m:r>
        <m:r>
          <m:t>i</m:t>
        </m:r>
        <m:r>
          <m:t>n</m:t>
        </m:r>
        <m:r>
          <m:t>t</m:t>
        </m:r>
        <m:r>
          <m:t>o</m:t>
        </m:r>
        <m:r>
          <m:t>t</m:t>
        </m:r>
        <m:r>
          <m:t>a</m:t>
        </m:r>
        <m:r>
          <m:t>l</m:t>
        </m:r>
        <m:r>
          <m:t>a</m:t>
        </m:r>
        <m:r>
          <m:t>s</m:t>
        </m:r>
        <m:r>
          <m:t>s</m:t>
        </m:r>
        <m:r>
          <m:t>e</m:t>
        </m:r>
        <m:r>
          <m:t>t</m:t>
        </m:r>
        <m:r>
          <m:t>s</m:t>
        </m:r>
        <m:r>
          <m:rPr>
            <m:sty m:val="p"/>
          </m:rPr>
          <m:t>.</m:t>
        </m:r>
        <m:r>
          <m:t>I</m:t>
        </m:r>
        <m:r>
          <m:t>n</m:t>
        </m:r>
        <m:r>
          <m:t>v</m:t>
        </m:r>
        <m:r>
          <m:t>e</m:t>
        </m:r>
        <m:r>
          <m:t>s</m:t>
        </m:r>
        <m:r>
          <m:t>t</m:t>
        </m:r>
        <m:r>
          <m:t>o</m:t>
        </m:r>
        <m:r>
          <m:t>r</m:t>
        </m:r>
        <m:r>
          <m:t>s</m:t>
        </m:r>
        <m:r>
          <m:t>s</m:t>
        </m:r>
        <m:r>
          <m:t>h</m:t>
        </m:r>
        <m:r>
          <m:t>o</m:t>
        </m:r>
        <m:r>
          <m:t>u</m:t>
        </m:r>
        <m:r>
          <m:t>l</m:t>
        </m:r>
        <m:r>
          <m:t>d</m:t>
        </m:r>
        <m:r>
          <m:t>w</m:t>
        </m:r>
        <m:r>
          <m:t>a</m:t>
        </m:r>
        <m:r>
          <m:t>t</m:t>
        </m:r>
        <m:r>
          <m:t>c</m:t>
        </m:r>
        <m:r>
          <m:t>h</m:t>
        </m:r>
        <m:r>
          <m:t>f</m:t>
        </m:r>
        <m:r>
          <m:t>o</m:t>
        </m:r>
        <m:r>
          <m:t>r</m:t>
        </m:r>
        <m:r>
          <m:t>a</m:t>
        </m:r>
        <m:r>
          <m:t>n</m:t>
        </m:r>
        <m:r>
          <m:t>y</m:t>
        </m:r>
        <m:r>
          <m:t>u</m:t>
        </m:r>
        <m:r>
          <m:t>p</m:t>
        </m:r>
        <m:r>
          <m:t>d</m:t>
        </m:r>
        <m:r>
          <m:t>a</m:t>
        </m:r>
        <m:r>
          <m:t>t</m:t>
        </m:r>
        <m:r>
          <m:t>e</m:t>
        </m:r>
        <m:r>
          <m:t>d</m:t>
        </m:r>
        <m:r>
          <m:t>d</m:t>
        </m:r>
        <m:r>
          <m:t>i</m:t>
        </m:r>
        <m:r>
          <m:t>l</m:t>
        </m:r>
        <m:r>
          <m:t>u</m:t>
        </m:r>
        <m:r>
          <m:t>t</m:t>
        </m:r>
        <m:r>
          <m:t>i</m:t>
        </m:r>
        <m:r>
          <m:t>o</m:t>
        </m:r>
        <m:r>
          <m:t>n</m:t>
        </m:r>
        <m:r>
          <m:rPr>
            <m:sty m:val="p"/>
          </m:rPr>
          <m:t>/</m:t>
        </m:r>
        <m:r>
          <m:t>s</m:t>
        </m:r>
        <m:r>
          <m:t>h</m:t>
        </m:r>
        <m:r>
          <m:t>a</m:t>
        </m:r>
        <m:r>
          <m:t>r</m:t>
        </m:r>
        <m:r>
          <m:t>e</m:t>
        </m:r>
        <m:r>
          <m:rPr>
            <m:sty m:val="p"/>
          </m:rPr>
          <m:t>−</m:t>
        </m:r>
        <m:r>
          <m:t>c</m:t>
        </m:r>
        <m:r>
          <m:t>o</m:t>
        </m:r>
        <m:r>
          <m:t>u</m:t>
        </m:r>
        <m:r>
          <m:t>n</m:t>
        </m:r>
        <m:r>
          <m:t>t</m:t>
        </m:r>
        <m:r>
          <m:t>g</m:t>
        </m:r>
        <m:r>
          <m:t>u</m:t>
        </m:r>
        <m:r>
          <m:t>i</m:t>
        </m:r>
        <m:r>
          <m:t>d</m:t>
        </m:r>
        <m:r>
          <m:t>a</m:t>
        </m:r>
        <m:r>
          <m:t>n</m:t>
        </m:r>
        <m:r>
          <m:t>c</m:t>
        </m:r>
        <m:r>
          <m:t>e</m:t>
        </m:r>
        <m:r>
          <m:t>g</m:t>
        </m:r>
        <m:r>
          <m:t>i</m:t>
        </m:r>
        <m:r>
          <m:t>v</m:t>
        </m:r>
        <m:r>
          <m:t>e</m:t>
        </m:r>
        <m:r>
          <m:t>n</m:t>
        </m:r>
        <m:r>
          <m:t>t</m:t>
        </m:r>
        <m:r>
          <m:t>h</m:t>
        </m:r>
        <m:r>
          <m:t>e</m:t>
        </m:r>
        <m:r>
          <m:t>n</m:t>
        </m:r>
        <m:r>
          <m:t>e</m:t>
        </m:r>
        <m:r>
          <m:t>w</m:t>
        </m:r>
        <m:r>
          <m:t>c</m:t>
        </m:r>
        <m:r>
          <m:t>o</m:t>
        </m:r>
        <m:r>
          <m:t>n</m:t>
        </m:r>
        <m:r>
          <m:t>v</m:t>
        </m:r>
        <m:r>
          <m:t>e</m:t>
        </m:r>
        <m:r>
          <m:t>r</m:t>
        </m:r>
        <m:r>
          <m:t>t</m:t>
        </m:r>
        <m:r>
          <m:t>o</m:t>
        </m:r>
        <m:r>
          <m:t>v</m:t>
        </m:r>
        <m:r>
          <m:t>e</m:t>
        </m:r>
        <m:r>
          <m:t>r</m:t>
        </m:r>
        <m:r>
          <m:t>h</m:t>
        </m:r>
        <m:r>
          <m:t>a</m:t>
        </m:r>
        <m:r>
          <m:t>n</m:t>
        </m:r>
        <m:r>
          <m:t>g</m:t>
        </m:r>
        <m:r>
          <m:t>a</m:t>
        </m:r>
        <m:r>
          <m:t>b</m:t>
        </m:r>
        <m:r>
          <m:t>o</m:t>
        </m:r>
        <m:r>
          <m:t>v</m:t>
        </m:r>
        <m:r>
          <m:t>e</m:t>
        </m:r>
        <m:r>
          <m:t> </m:t>
        </m:r>
      </m:oMath>
      <w:r>
        <w:t xml:space="preserve">405/share.</w:t>
      </w:r>
    </w:p>
    <w:bookmarkEnd w:id="15"/>
    <w:bookmarkStart w:id="16" w:name="bottom-line-for-investors"/>
    <w:p>
      <w:pPr>
        <w:pStyle w:val="Heading2"/>
      </w:pPr>
      <w:r>
        <w:t xml:space="preserve">Bottom Line for Investors</w:t>
      </w:r>
    </w:p>
    <w:p>
      <w:pPr>
        <w:pStyle w:val="FirstParagraph"/>
      </w:pPr>
      <w:r>
        <w:t xml:space="preserve">Tyler enters this print as a high-quality, high-retention (98% gross retention), durable-growth compounder trading at a significantly compressed multiple after a sector-wide SaaS selloff and specific fears about AI disintermediating government software vendors. Fundamentally, the business has been beating and raising: Q1 was strong, guidance has been raised twice since (once for M&amp;A, once for capital-structure accretion), and the company just raised its 2030 targets across ARR, margins, and free cash flow at its Investor Day. The key swing factors for tomorrow's reaction will likely be</w:t>
      </w:r>
      <w:r>
        <w:t xml:space="preserve"> </w:t>
      </w:r>
      <w:r>
        <w:rPr>
          <w:b/>
          <w:bCs/>
        </w:rPr>
        <w:t xml:space="preserve">(1)</w:t>
      </w:r>
      <w:r>
        <w:t xml:space="preserve"> </w:t>
      </w:r>
      <w:r>
        <w:t xml:space="preserve">whether SaaS growth and bookings show continued acceleration or deceleration,</w:t>
      </w:r>
      <w:r>
        <w:t xml:space="preserve"> </w:t>
      </w:r>
      <w:r>
        <w:rPr>
          <w:b/>
          <w:bCs/>
        </w:rPr>
        <w:t xml:space="preserve">(2)</w:t>
      </w:r>
      <w:r>
        <w:t xml:space="preserve"> </w:t>
      </w:r>
      <w:r>
        <w:t xml:space="preserve">any incremental color on AI monetization traction, and</w:t>
      </w:r>
      <w:r>
        <w:t xml:space="preserve"> </w:t>
      </w:r>
      <w:r>
        <w:rPr>
          <w:b/>
          <w:bCs/>
        </w:rPr>
        <w:t xml:space="preserve">(3)</w:t>
      </w:r>
      <w:r>
        <w:t xml:space="preserve"> </w:t>
      </w:r>
      <w:r>
        <w:t xml:space="preserve">whether management's back-half-loaded EPS commentary and full-year guidance hold or get revised — against a consensus bar of roughly</w:t>
      </w:r>
      <w:r>
        <w:t xml:space="preserve"> </w:t>
      </w:r>
      <m:oMath>
        <m:r>
          <m:t>647</m:t>
        </m:r>
        <m:r>
          <m:rPr>
            <m:sty m:val="p"/>
          </m:rPr>
          <m:t>–</m:t>
        </m:r>
        <m:r>
          <m:t>649</m:t>
        </m:r>
        <m:r>
          <m:t>M</m:t>
        </m:r>
        <m:r>
          <m:t>r</m:t>
        </m:r>
        <m:r>
          <m:t>e</m:t>
        </m:r>
        <m:r>
          <m:t>v</m:t>
        </m:r>
        <m:r>
          <m:t>e</m:t>
        </m:r>
        <m:r>
          <m:t>n</m:t>
        </m:r>
        <m:r>
          <m:t>u</m:t>
        </m:r>
        <m:r>
          <m:t>e</m:t>
        </m:r>
        <m:r>
          <m:t>a</m:t>
        </m:r>
        <m:r>
          <m:t>n</m:t>
        </m:r>
        <m:r>
          <m:t>d</m:t>
        </m:r>
        <m:r>
          <m:t> </m:t>
        </m:r>
      </m:oMath>
      <w:r>
        <w:t xml:space="preserve">3.09–3.19 non-GAAP EPS.</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2026-07-29T02:13:54Z</dcterms:created>
  <dcterms:modified xsi:type="dcterms:W3CDTF">2026-07-29T02:13:54Z</dcterms:modified>
</cp:coreProperties>
</file>

<file path=docProps/custom.xml><?xml version="1.0" encoding="utf-8"?>
<Properties xmlns="http://schemas.openxmlformats.org/officeDocument/2006/custom-properties" xmlns:vt="http://schemas.openxmlformats.org/officeDocument/2006/docPropsVTypes"/>
</file>