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yl-earnings-predictions--2026-07-29"/>
    <w:p>
      <w:pPr>
        <w:pStyle w:val="Heading1"/>
      </w:pPr>
      <w:r>
        <w:t xml:space="preserve">TYL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~$657.0M vs. cons $654.55M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~$3.04 vs. cons $3.11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SaaS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~$237.0M vs. cons $233.5M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~$2.575B midpoint vs. cons $2.560B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~$13.03 midpoint vs. cons $13.00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Free-cash-flow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~27.0% midpoint vs. cons 27.0%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+3.8% (FOLLOW-THROUGH)</w:t>
            </w:r>
          </w:p>
        </w:tc>
        <w:tc>
          <w:tcPr/>
          <w:p>
            <w:pPr>
              <w:pStyle w:val="Compact"/>
            </w:pPr>
            <w:r>
              <w:t xml:space="preserve">SaaS revenue of ~</w:t>
            </w:r>
            <m:oMath>
              <m:r>
                <m:t>237.0</m:t>
              </m:r>
              <m:r>
                <m:t>M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233.5M consensus and FY2026 revenue guidance of ~</w:t>
            </w:r>
            <m:oMath>
              <m:r>
                <m:t>2.575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2.560B consensus should support modest upward revisions; the implied second-half EPS remains approximately $6.9 versus roughly $6.8 embedded in consensus, limiting the risk of an out-period estimate cut despite a Q2 EPS miss.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2026-07-29T02:12:59Z</dcterms:created>
  <dcterms:modified xsi:type="dcterms:W3CDTF">2026-07-29T02:12:59Z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