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0d9bdea7e0d6901b44c0d1e43ecb3ce3eeca969"/>
    <w:p>
      <w:pPr>
        <w:pStyle w:val="Heading1"/>
      </w:pPr>
      <w:r>
        <w:t xml:space="preserve">Tyler Technologies (NYSE: TYL) —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Tyler will release Q2 results</w:t>
      </w:r>
      <w:r>
        <w:t xml:space="preserve"> </w:t>
      </w:r>
      <w:r>
        <w:rPr>
          <w:b/>
          <w:bCs/>
        </w:rPr>
        <w:t xml:space="preserve">after the market closes today, Wednesday, July 29, 2026</w:t>
      </w:r>
      <w:r>
        <w:t xml:space="preserve">. The earnings call is</w:t>
      </w:r>
      <w:r>
        <w:t xml:space="preserve"> </w:t>
      </w:r>
      <w:r>
        <w:rPr>
          <w:b/>
          <w:bCs/>
        </w:rPr>
        <w:t xml:space="preserve">Thursday, July 30, at 8:30 a.m. ET</w:t>
      </w:r>
      <w:r>
        <w:t xml:space="preserve">—not July 29. (</w:t>
      </w:r>
      <w:hyperlink r:id="rId9">
        <w:r>
          <w:rPr>
            <w:rStyle w:val="Hyperlink"/>
          </w:rPr>
          <w:t xml:space="preserve">investors.tylertech.com</w:t>
        </w:r>
      </w:hyperlink>
      <w:r>
        <w:t xml:space="preserve">)</w:t>
      </w:r>
    </w:p>
    <w:bookmarkStart w:id="10" w:name="investment-view-going-into-the-print"/>
    <w:p>
      <w:pPr>
        <w:pStyle w:val="Heading2"/>
      </w:pPr>
      <w:r>
        <w:t xml:space="preserve">Investment view going into the print</w:t>
      </w:r>
    </w:p>
    <w:p>
      <w:pPr>
        <w:pStyle w:val="FirstParagraph"/>
      </w:pPr>
      <w:r>
        <w:t xml:space="preserve">This quarter is less about whether Tyler can clear the headline EPS estimate and more about whether it continues to validate three parts of the long-term thesis: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SaaS growth can remain above 20%</w:t>
      </w:r>
      <w:r>
        <w:t xml:space="preserve"> </w:t>
      </w:r>
      <w:r>
        <w:t xml:space="preserve">as cloud migrations accelerate.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Margins can expand despite elevated R&amp;D investment.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Strong public-sector demand translates into durable bookings and recurring-revenue growth.</w:t>
      </w:r>
    </w:p>
    <w:p>
      <w:pPr>
        <w:pStyle w:val="FirstParagraph"/>
      </w:pPr>
      <w:r>
        <w:t xml:space="preserve">The setup appears reasonably balanced. Tyler started 2026 ahead of expectations, held an upbeat Investor Day in June, and used inexpensive convertible financing to retire a meaningful amount of stock. At the same time, Q2 has a difficult transaction-revenue comparison, the For The Record acquisition complicates the organic growth picture, and management has already raised EPS guidance for financing-related benefits.</w:t>
      </w:r>
    </w:p>
    <w:p>
      <w:pPr>
        <w:pStyle w:val="BodyText"/>
      </w:pPr>
      <w:r>
        <w:t xml:space="preserve">A modest beat with unchanged guidance may therefore be insufficient. The higher-quality outcome would be</w:t>
      </w:r>
      <w:r>
        <w:t xml:space="preserve"> </w:t>
      </w:r>
      <w:r>
        <w:rPr>
          <w:b/>
          <w:bCs/>
        </w:rPr>
        <w:t xml:space="preserve">continued 20%+ SaaS growth, improving recurring-revenue growth, margin expansion, and evidence that bookings momentum remains broad-based.</w:t>
      </w:r>
    </w:p>
    <w:p>
      <w:r>
        <w:pict>
          <v:rect style="width:0;height:1.5pt" o:hralign="center" o:hrstd="t" o:hr="t"/>
        </w:pict>
      </w:r>
    </w:p>
    <w:bookmarkEnd w:id="10"/>
    <w:bookmarkStart w:id="12" w:name="street-expectations"/>
    <w:p>
      <w:pPr>
        <w:pStyle w:val="Heading2"/>
      </w:pPr>
      <w:r>
        <w:t xml:space="preserve">Street expectations</w:t>
      </w:r>
    </w:p>
    <w:p>
      <w:pPr>
        <w:pStyle w:val="FirstParagraph"/>
      </w:pPr>
      <w:r>
        <w:t xml:space="preserve">Published third-party estimates vary, but they generally place the Q2 bar around: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648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655M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$596.1M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9%–10%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3.00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$2.91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3%–7%</w:t>
            </w:r>
          </w:p>
        </w:tc>
      </w:tr>
    </w:tbl>
    <w:p>
      <w:pPr>
        <w:pStyle w:val="BodyText"/>
      </w:pPr>
      <w:r>
        <w:t xml:space="preserve">One aggregator lists estimates of $648.5 million and $2.97, while another shows roughly $654.6 million and $3.11. The dispersion likely reflects different update timing and treatment of Tyler’s May financing transaction. (</w:t>
      </w:r>
      <w:hyperlink r:id="rId11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For context, Tyler’s Q2 2025 results included:</w:t>
      </w:r>
    </w:p>
    <w:p>
      <w:pPr>
        <w:pStyle w:val="Compact"/>
        <w:numPr>
          <w:ilvl w:val="0"/>
          <w:numId w:val="1002"/>
        </w:numPr>
      </w:pPr>
      <w:r>
        <w:t xml:space="preserve">Revenue growth of 10.2%.</w:t>
      </w:r>
    </w:p>
    <w:p>
      <w:pPr>
        <w:pStyle w:val="Compact"/>
        <w:numPr>
          <w:ilvl w:val="0"/>
          <w:numId w:val="1002"/>
        </w:numPr>
      </w:pPr>
      <w:r>
        <w:t xml:space="preserve">Recurring-revenue growth of 15.2%.</w:t>
      </w:r>
    </w:p>
    <w:p>
      <w:pPr>
        <w:pStyle w:val="Compact"/>
        <w:numPr>
          <w:ilvl w:val="0"/>
          <w:numId w:val="1002"/>
        </w:numPr>
      </w:pPr>
      <w:r>
        <w:t xml:space="preserve">SaaS growth of 21.5%.</w:t>
      </w:r>
    </w:p>
    <w:p>
      <w:pPr>
        <w:pStyle w:val="Compact"/>
        <w:numPr>
          <w:ilvl w:val="0"/>
          <w:numId w:val="1002"/>
        </w:numPr>
      </w:pPr>
      <w:r>
        <w:t xml:space="preserve">Transaction-revenue growth of 21.3%.</w:t>
      </w:r>
    </w:p>
    <w:p>
      <w:pPr>
        <w:pStyle w:val="Compact"/>
        <w:numPr>
          <w:ilvl w:val="0"/>
          <w:numId w:val="1002"/>
        </w:numPr>
      </w:pPr>
      <w:r>
        <w:t xml:space="preserve">A 26.5% non-GAAP operating margin.</w:t>
      </w:r>
    </w:p>
    <w:p>
      <w:pPr>
        <w:pStyle w:val="FirstParagraph"/>
      </w:pPr>
      <w:r>
        <w:t xml:space="preserve">The transaction comparison is particularly demanding; SaaS should be the cleaner indicator of underlying momentum.</w:t>
      </w:r>
    </w:p>
    <w:p>
      <w:r>
        <w:pict>
          <v:rect style="width:0;height:1.5pt" o:hralign="center" o:hrstd="t" o:hr="t"/>
        </w:pict>
      </w:r>
    </w:p>
    <w:bookmarkEnd w:id="12"/>
    <w:bookmarkStart w:id="19" w:name="what-matters-most"/>
    <w:p>
      <w:pPr>
        <w:pStyle w:val="Heading2"/>
      </w:pPr>
      <w:r>
        <w:t xml:space="preserve">What matters most</w:t>
      </w:r>
    </w:p>
    <w:bookmarkStart w:id="14" w:name="Xfce509271ecd404a9a9d784ff86cdf87cc57d3d"/>
    <w:p>
      <w:pPr>
        <w:pStyle w:val="Heading3"/>
      </w:pPr>
      <w:r>
        <w:t xml:space="preserve">1. SaaS growth and cloud-conversion activity</w:t>
      </w:r>
    </w:p>
    <w:p>
      <w:pPr>
        <w:pStyle w:val="FirstParagraph"/>
      </w:pPr>
      <w:r>
        <w:t xml:space="preserve">Q1 SaaS revenue increased</w:t>
      </w:r>
      <w:r>
        <w:t xml:space="preserve"> </w:t>
      </w:r>
      <w:r>
        <w:rPr>
          <w:b/>
          <w:bCs/>
        </w:rPr>
        <w:t xml:space="preserve">23.5% to $222.4 million</w:t>
      </w:r>
      <w:r>
        <w:t xml:space="preserve">, extending Tyler’s streak to 21 consecutive quarters of at least 20% SaaS growth. Management also described cloud adoption as increasingly a question of</w:t>
      </w:r>
      <w:r>
        <w:t xml:space="preserve"> </w:t>
      </w:r>
      <w:r>
        <w:rPr>
          <w:i/>
          <w:iCs/>
        </w:rPr>
        <w:t xml:space="preserve">when</w:t>
      </w:r>
      <w:r>
        <w:t xml:space="preserve">, rather than</w:t>
      </w:r>
      <w:r>
        <w:t xml:space="preserve"> </w:t>
      </w:r>
      <w:r>
        <w:rPr>
          <w:i/>
          <w:iCs/>
        </w:rPr>
        <w:t xml:space="preserve">if</w:t>
      </w:r>
      <w:r>
        <w:t xml:space="preserve">, including in public safety—an area that had historically migrated more slowly.</w:t>
      </w:r>
    </w:p>
    <w:p>
      <w:pPr>
        <w:pStyle w:val="BodyText"/>
      </w:pPr>
      <w:r>
        <w:t xml:space="preserve">At its June Investor Day, Tyler said:</w:t>
      </w:r>
    </w:p>
    <w:p>
      <w:pPr>
        <w:pStyle w:val="Compact"/>
        <w:numPr>
          <w:ilvl w:val="0"/>
          <w:numId w:val="1003"/>
        </w:numPr>
      </w:pPr>
      <w:r>
        <w:t xml:space="preserve">More than 95% of new software contract value is now SaaS.</w:t>
      </w:r>
    </w:p>
    <w:p>
      <w:pPr>
        <w:pStyle w:val="Compact"/>
        <w:numPr>
          <w:ilvl w:val="0"/>
          <w:numId w:val="1003"/>
        </w:numPr>
      </w:pPr>
      <w:r>
        <w:t xml:space="preserve">Approximately 30% of the original maintenance base has been converted.</w:t>
      </w:r>
    </w:p>
    <w:p>
      <w:pPr>
        <w:pStyle w:val="Compact"/>
        <w:numPr>
          <w:ilvl w:val="0"/>
          <w:numId w:val="1003"/>
        </w:numPr>
      </w:pPr>
      <w:r>
        <w:t xml:space="preserve">Roughly $400 million of maintenance revenue remains available to migrate.</w:t>
      </w:r>
    </w:p>
    <w:p>
      <w:pPr>
        <w:pStyle w:val="Compact"/>
        <w:numPr>
          <w:ilvl w:val="0"/>
          <w:numId w:val="1003"/>
        </w:numPr>
      </w:pPr>
      <w:r>
        <w:t xml:space="preserve">A typical migration produces an approximately</w:t>
      </w:r>
      <w:r>
        <w:t xml:space="preserve"> </w:t>
      </w:r>
      <w:r>
        <w:rPr>
          <w:b/>
          <w:bCs/>
        </w:rPr>
        <w:t xml:space="preserve">1.7x recurring-revenue uplift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The company expects to convert 85% of the original maintenance base by 2030.</w:t>
      </w:r>
    </w:p>
    <w:p>
      <w:pPr>
        <w:pStyle w:val="FirstParagraph"/>
      </w:pPr>
      <w:r>
        <w:t xml:space="preserve">The key Q2 question is whether SaaS growth stays comfortably above 20%, rather than merely preserving the streak. The Investor Day model calls for approximately 20% SaaS growth through 2030, making sustained low-20s growth important to the credibility of that outlook. Tyler formally emphasized its next phase of SaaS growth and updated 2030 targets at the June event. (</w:t>
      </w:r>
      <w:hyperlink r:id="rId13">
        <w:r>
          <w:rPr>
            <w:rStyle w:val="Hyperlink"/>
          </w:rPr>
          <w:t xml:space="preserve">investors.tylertech.com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What would be encouraging:</w:t>
      </w:r>
      <w:r>
        <w:t xml:space="preserve"> </w:t>
      </w:r>
      <w:r>
        <w:t xml:space="preserve">SaaS growth of 22% or better, accompanied by commentary that migration volume and annual contract value remain on plan.</w:t>
      </w:r>
    </w:p>
    <w:p>
      <w:pPr>
        <w:pStyle w:val="BodyText"/>
      </w:pPr>
      <w:r>
        <w:rPr>
          <w:b/>
          <w:bCs/>
        </w:rPr>
        <w:t xml:space="preserve">Potential warning:</w:t>
      </w:r>
      <w:r>
        <w:t xml:space="preserve"> </w:t>
      </w:r>
      <w:r>
        <w:t xml:space="preserve">SaaS growth falling below 20% or management attributing softness to implementation capacity, delayed migrations, or customer budgeting.</w:t>
      </w:r>
    </w:p>
    <w:p>
      <w:r>
        <w:pict>
          <v:rect style="width:0;height:1.5pt" o:hralign="center" o:hrstd="t" o:hr="t"/>
        </w:pict>
      </w:r>
    </w:p>
    <w:bookmarkEnd w:id="14"/>
    <w:bookmarkStart w:id="15" w:name="Xf0331b6a6c7d20e9d507de6548872e9f603821d"/>
    <w:p>
      <w:pPr>
        <w:pStyle w:val="Heading3"/>
      </w:pPr>
      <w:r>
        <w:t xml:space="preserve">2. Recurring revenue and bookings quality</w:t>
      </w:r>
    </w:p>
    <w:p>
      <w:pPr>
        <w:pStyle w:val="FirstParagraph"/>
      </w:pPr>
      <w:r>
        <w:t xml:space="preserve">Q1 recurring revenue grew</w:t>
      </w:r>
      <w:r>
        <w:t xml:space="preserve"> </w:t>
      </w:r>
      <w:r>
        <w:rPr>
          <w:b/>
          <w:bCs/>
        </w:rPr>
        <w:t xml:space="preserve">10.4% to $538.6 million</w:t>
      </w:r>
      <w:r>
        <w:t xml:space="preserve">, representing 87.8% of total revenue. Bookings accelerated despite the absence of unusually large SaaS contracts, suggesting broad deal activity rather than dependence on one or two wins.</w:t>
      </w:r>
    </w:p>
    <w:p>
      <w:pPr>
        <w:pStyle w:val="BodyText"/>
      </w:pPr>
      <w:r>
        <w:t xml:space="preserve">Management also highlighted a statewide digital vehicle-titling contract expected to generate more than $20 million of annual transaction revenue when fully ramped. Because transaction-funded contracts generally do not enter reported bookings, conventional bookings can understate the value of Tyler’s new business.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4"/>
        </w:numPr>
      </w:pPr>
      <w:r>
        <w:t xml:space="preserve">Total and SaaS bookings growth.</w:t>
      </w:r>
    </w:p>
    <w:p>
      <w:pPr>
        <w:pStyle w:val="Compact"/>
        <w:numPr>
          <w:ilvl w:val="0"/>
          <w:numId w:val="1004"/>
        </w:numPr>
      </w:pPr>
      <w:r>
        <w:t xml:space="preserve">Large-deal pipeline and win-rate commentary.</w:t>
      </w:r>
    </w:p>
    <w:p>
      <w:pPr>
        <w:pStyle w:val="Compact"/>
        <w:numPr>
          <w:ilvl w:val="0"/>
          <w:numId w:val="1004"/>
        </w:numPr>
      </w:pPr>
      <w:r>
        <w:t xml:space="preserve">Cloud-flip annual contract value.</w:t>
      </w:r>
    </w:p>
    <w:p>
      <w:pPr>
        <w:pStyle w:val="Compact"/>
        <w:numPr>
          <w:ilvl w:val="0"/>
          <w:numId w:val="1004"/>
        </w:numPr>
      </w:pPr>
      <w:r>
        <w:t xml:space="preserve">Cross-selling into existing jurisdictions.</w:t>
      </w:r>
    </w:p>
    <w:p>
      <w:pPr>
        <w:pStyle w:val="Compact"/>
        <w:numPr>
          <w:ilvl w:val="0"/>
          <w:numId w:val="1004"/>
        </w:numPr>
      </w:pPr>
      <w:r>
        <w:t xml:space="preserve">RFP activity and public-sector budget conditions.</w:t>
      </w:r>
    </w:p>
    <w:p>
      <w:pPr>
        <w:pStyle w:val="Compact"/>
        <w:numPr>
          <w:ilvl w:val="0"/>
          <w:numId w:val="1004"/>
        </w:numPr>
      </w:pPr>
      <w:r>
        <w:t xml:space="preserve">New transaction-funded contracts that do not appear in bookings.</w:t>
      </w:r>
    </w:p>
    <w:p>
      <w:pPr>
        <w:pStyle w:val="FirstParagraph"/>
      </w:pPr>
      <w:r>
        <w:t xml:space="preserve">A quarter with merely average bookings could be viewed negatively given management’s strong Q1 and Investor Day commentary.</w:t>
      </w:r>
    </w:p>
    <w:p>
      <w:r>
        <w:pict>
          <v:rect style="width:0;height:1.5pt" o:hralign="center" o:hrstd="t" o:hr="t"/>
        </w:pict>
      </w:r>
    </w:p>
    <w:bookmarkEnd w:id="15"/>
    <w:bookmarkStart w:id="16" w:name="Xb651ffde5f300241e4ea6200e1e624d4f38ebae"/>
    <w:p>
      <w:pPr>
        <w:pStyle w:val="Heading3"/>
      </w:pPr>
      <w:r>
        <w:t xml:space="preserve">3. Transaction revenue: growth rate versus revenue quality</w:t>
      </w:r>
    </w:p>
    <w:p>
      <w:pPr>
        <w:pStyle w:val="FirstParagraph"/>
      </w:pPr>
      <w:r>
        <w:t xml:space="preserve">Transaction revenue grew only</w:t>
      </w:r>
      <w:r>
        <w:t xml:space="preserve"> </w:t>
      </w:r>
      <w:r>
        <w:rPr>
          <w:b/>
          <w:bCs/>
        </w:rPr>
        <w:t xml:space="preserve">6.4% in Q1</w:t>
      </w:r>
      <w:r>
        <w:t xml:space="preserve">, a sharp deceleration from the unusually strong periods in 2025. Q2 compares against 21.3% growth last year, making another moderate growth rate likely.</w:t>
      </w:r>
    </w:p>
    <w:p>
      <w:pPr>
        <w:pStyle w:val="BodyText"/>
      </w:pPr>
      <w:r>
        <w:t xml:space="preserve">That slowdown should not automatically be interpreted as deterioration. Tyler is deliberately emphasizing higher-value transaction-funded software and premium payment products rather than commoditized, lower-margin payment processing. Management’s 2030 model calls for approximately 10% transaction growth, with improving economics.</w:t>
      </w:r>
    </w:p>
    <w:p>
      <w:pPr>
        <w:pStyle w:val="BodyText"/>
      </w:pPr>
      <w:r>
        <w:t xml:space="preserve">The right questions are:</w:t>
      </w:r>
    </w:p>
    <w:p>
      <w:pPr>
        <w:pStyle w:val="Compact"/>
        <w:numPr>
          <w:ilvl w:val="0"/>
          <w:numId w:val="1005"/>
        </w:numPr>
      </w:pPr>
      <w:r>
        <w:t xml:space="preserve">Is transaction growth broadly tracking the 10% long-term framework?</w:t>
      </w:r>
    </w:p>
    <w:p>
      <w:pPr>
        <w:pStyle w:val="Compact"/>
        <w:numPr>
          <w:ilvl w:val="0"/>
          <w:numId w:val="1005"/>
        </w:numPr>
      </w:pPr>
      <w:r>
        <w:t xml:space="preserve">Are payment volumes and attach rates healthy?</w:t>
      </w:r>
    </w:p>
    <w:p>
      <w:pPr>
        <w:pStyle w:val="Compact"/>
        <w:numPr>
          <w:ilvl w:val="0"/>
          <w:numId w:val="1005"/>
        </w:numPr>
      </w:pPr>
      <w:r>
        <w:t xml:space="preserve">Is the mix shifting toward transaction-funded software with SaaS-like margins?</w:t>
      </w:r>
    </w:p>
    <w:p>
      <w:pPr>
        <w:pStyle w:val="Compact"/>
        <w:numPr>
          <w:ilvl w:val="0"/>
          <w:numId w:val="1005"/>
        </w:numPr>
      </w:pPr>
      <w:r>
        <w:t xml:space="preserve">Does management remain confident in increasing payment attachment from the mid-20% range to more than 40% by 2030?</w:t>
      </w:r>
    </w:p>
    <w:p>
      <w:pPr>
        <w:pStyle w:val="FirstParagraph"/>
      </w:pPr>
      <w:r>
        <w:t xml:space="preserve">A lower growth rate paired with stronger margins and favorable mix would be more constructive than fast but low-quality payment growth.</w:t>
      </w:r>
    </w:p>
    <w:p>
      <w:r>
        <w:pict>
          <v:rect style="width:0;height:1.5pt" o:hralign="center" o:hrstd="t" o:hr="t"/>
        </w:pict>
      </w:r>
    </w:p>
    <w:bookmarkEnd w:id="16"/>
    <w:bookmarkStart w:id="17" w:name="Xd89ddd046f5889e00d4ec849069341dbd526f7b"/>
    <w:p>
      <w:pPr>
        <w:pStyle w:val="Heading3"/>
      </w:pPr>
      <w:r>
        <w:t xml:space="preserve">4. Margin expansion despite heavier investment</w:t>
      </w:r>
    </w:p>
    <w:p>
      <w:pPr>
        <w:pStyle w:val="FirstParagraph"/>
      </w:pPr>
      <w:r>
        <w:t xml:space="preserve">Q1 non-GAAP operating margin improved 40 basis points to</w:t>
      </w:r>
      <w:r>
        <w:t xml:space="preserve"> </w:t>
      </w:r>
      <w:r>
        <w:rPr>
          <w:b/>
          <w:bCs/>
        </w:rPr>
        <w:t xml:space="preserve">27.2%</w:t>
      </w:r>
      <w:r>
        <w:t xml:space="preserve">, while non-GAAP gross margin increased 90 basis points to 51.3%. That came despite R&amp;D expense increasing nearly 25%, reflecting AI investment, cloud work, and the movement of certain development costs into R&amp;D.</w:t>
      </w:r>
    </w:p>
    <w:p>
      <w:pPr>
        <w:pStyle w:val="BodyText"/>
      </w:pPr>
      <w:r>
        <w:t xml:space="preserve">Tyler’s long-term model now targets a</w:t>
      </w:r>
      <w:r>
        <w:t xml:space="preserve"> </w:t>
      </w:r>
      <w:r>
        <w:rPr>
          <w:b/>
          <w:bCs/>
        </w:rPr>
        <w:t xml:space="preserve">mid-30% non-GAAP operating margin by 2030</w:t>
      </w:r>
      <w:r>
        <w:t xml:space="preserve">, with the largest drivers including:</w:t>
      </w:r>
    </w:p>
    <w:p>
      <w:pPr>
        <w:pStyle w:val="Compact"/>
        <w:numPr>
          <w:ilvl w:val="0"/>
          <w:numId w:val="1006"/>
        </w:numPr>
      </w:pPr>
      <w:r>
        <w:t xml:space="preserve">Cloud and version consolidation.</w:t>
      </w:r>
    </w:p>
    <w:p>
      <w:pPr>
        <w:pStyle w:val="Compact"/>
        <w:numPr>
          <w:ilvl w:val="0"/>
          <w:numId w:val="1006"/>
        </w:numPr>
      </w:pPr>
      <w:r>
        <w:t xml:space="preserve">Higher-quality transaction revenue.</w:t>
      </w:r>
    </w:p>
    <w:p>
      <w:pPr>
        <w:pStyle w:val="Compact"/>
        <w:numPr>
          <w:ilvl w:val="0"/>
          <w:numId w:val="1006"/>
        </w:numPr>
      </w:pPr>
      <w:r>
        <w:t xml:space="preserve">AI-enabled productivity.</w:t>
      </w:r>
    </w:p>
    <w:p>
      <w:pPr>
        <w:pStyle w:val="Compact"/>
        <w:numPr>
          <w:ilvl w:val="0"/>
          <w:numId w:val="1006"/>
        </w:numPr>
      </w:pPr>
      <w:r>
        <w:t xml:space="preserve">Operating-expense leverage.</w:t>
      </w:r>
    </w:p>
    <w:p>
      <w:pPr>
        <w:pStyle w:val="FirstParagraph"/>
      </w:pPr>
      <w:r>
        <w:t xml:space="preserve">For Q2, investors should look for continued operating-margin expansion and evidence that cloud efficiencies are offsetting higher R&amp;D spending. Flat or declining margins would require a convincing explanation, especially after management laid out roughly 1,000 basis points of potential expansion through 2030.</w:t>
      </w:r>
    </w:p>
    <w:p>
      <w:r>
        <w:pict>
          <v:rect style="width:0;height:1.5pt" o:hralign="center" o:hrstd="t" o:hr="t"/>
        </w:pict>
      </w:r>
    </w:p>
    <w:bookmarkEnd w:id="17"/>
    <w:bookmarkStart w:id="18" w:name="X03ef24063aeb95c825467c79c8545b31f2ce2d6"/>
    <w:p>
      <w:pPr>
        <w:pStyle w:val="Heading3"/>
      </w:pPr>
      <w:r>
        <w:t xml:space="preserve">5. For The Record: first full-quarter contribution</w:t>
      </w:r>
    </w:p>
    <w:p>
      <w:pPr>
        <w:pStyle w:val="FirstParagraph"/>
      </w:pPr>
      <w:r>
        <w:t xml:space="preserve">Tyler acquired courtroom recording and AI transcription provider</w:t>
      </w:r>
      <w:r>
        <w:t xml:space="preserve"> </w:t>
      </w:r>
      <w:r>
        <w:rPr>
          <w:b/>
          <w:bCs/>
        </w:rPr>
        <w:t xml:space="preserve">For The Record</w:t>
      </w:r>
      <w:r>
        <w:t xml:space="preserve"> </w:t>
      </w:r>
      <w:r>
        <w:t xml:space="preserve">in April for approximately $223 million. Management included around $30 million of 2026 revenue contribution in its Q1 guidance update and said approximately 70% of FTR revenue is software-related.</w:t>
      </w:r>
    </w:p>
    <w:p>
      <w:pPr>
        <w:pStyle w:val="BodyText"/>
      </w:pPr>
      <w:r>
        <w:t xml:space="preserve">Q2 will contain the first full quarter of ownership, so investors should separate:</w:t>
      </w:r>
    </w:p>
    <w:p>
      <w:pPr>
        <w:pStyle w:val="Compact"/>
        <w:numPr>
          <w:ilvl w:val="0"/>
          <w:numId w:val="1007"/>
        </w:numPr>
      </w:pPr>
      <w:r>
        <w:t xml:space="preserve">Reported growth.</w:t>
      </w:r>
    </w:p>
    <w:p>
      <w:pPr>
        <w:pStyle w:val="Compact"/>
        <w:numPr>
          <w:ilvl w:val="0"/>
          <w:numId w:val="1007"/>
        </w:numPr>
      </w:pPr>
      <w:r>
        <w:t xml:space="preserve">Organic Tyler growth.</w:t>
      </w:r>
    </w:p>
    <w:p>
      <w:pPr>
        <w:pStyle w:val="Compact"/>
        <w:numPr>
          <w:ilvl w:val="0"/>
          <w:numId w:val="1007"/>
        </w:numPr>
      </w:pPr>
      <w:r>
        <w:t xml:space="preserve">FTR’s revenue contribution.</w:t>
      </w:r>
    </w:p>
    <w:p>
      <w:pPr>
        <w:pStyle w:val="Compact"/>
        <w:numPr>
          <w:ilvl w:val="0"/>
          <w:numId w:val="1007"/>
        </w:numPr>
      </w:pPr>
      <w:r>
        <w:t xml:space="preserve">Near-term acquisition and integration costs.</w:t>
      </w:r>
    </w:p>
    <w:p>
      <w:pPr>
        <w:pStyle w:val="Compact"/>
        <w:numPr>
          <w:ilvl w:val="0"/>
          <w:numId w:val="1007"/>
        </w:numPr>
      </w:pPr>
      <w:r>
        <w:t xml:space="preserve">Progress cross-selling FTR into Tyler’s court client base.</w:t>
      </w:r>
    </w:p>
    <w:p>
      <w:pPr>
        <w:pStyle w:val="FirstParagraph"/>
      </w:pPr>
      <w:r>
        <w:t xml:space="preserve">Management expects FTR’s ARR to grow approximately 20% annually over five years and believes the combined “judicial intelligence” opportunity exceeds $1 billion. For the immediate print, however, execution and guidance contribution matter more than the long-term TAM narrative.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1" w:name="guidance-and-financing-considerations"/>
    <w:p>
      <w:pPr>
        <w:pStyle w:val="Heading2"/>
      </w:pPr>
      <w:r>
        <w:t xml:space="preserve">Guidance and financing considerations</w:t>
      </w:r>
    </w:p>
    <w:p>
      <w:pPr>
        <w:pStyle w:val="FirstParagraph"/>
      </w:pPr>
      <w:r>
        <w:t xml:space="preserve">Following Q1, Tyler guided to: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Revenue:</w:t>
      </w:r>
      <w:r>
        <w:t xml:space="preserve"> </w:t>
      </w:r>
      <m:oMath>
        <m:r>
          <m:t>2.535</m:t>
        </m:r>
        <m:r>
          <m:t>B</m:t>
        </m:r>
        <m:r>
          <m:rPr>
            <m:sty m:val="p"/>
          </m:rPr>
          <m:t>–</m:t>
        </m:r>
      </m:oMath>
      <w:r>
        <w:t xml:space="preserve">2.575B.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Free-cash-flow margin:</w:t>
      </w:r>
      <w:r>
        <w:t xml:space="preserve"> </w:t>
      </w:r>
      <w:r>
        <w:t xml:space="preserve">26%–28%.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Non-GAAP EPS:</w:t>
      </w:r>
      <w:r>
        <w:t xml:space="preserve"> </w:t>
      </w:r>
      <w:r>
        <w:t xml:space="preserve">initially</w:t>
      </w:r>
      <w:r>
        <w:t xml:space="preserve"> </w:t>
      </w:r>
      <m:oMath>
        <m:r>
          <m:t>12.50</m:t>
        </m:r>
        <m:r>
          <m:rPr>
            <m:sty m:val="p"/>
          </m:rPr>
          <m:t>–</m:t>
        </m:r>
      </m:oMath>
      <w:r>
        <w:t xml:space="preserve">12.75.</w:t>
      </w:r>
    </w:p>
    <w:p>
      <w:pPr>
        <w:pStyle w:val="FirstParagraph"/>
      </w:pPr>
      <w:r>
        <w:t xml:space="preserve">At Investor Day, management raised non-GAAP EPS guidance by</w:t>
      </w:r>
      <w:r>
        <w:t xml:space="preserve"> </w:t>
      </w:r>
      <m:oMath>
        <m:r>
          <m:t>0.30</m:t>
        </m:r>
        <m:r>
          <m:rPr>
            <m:sty m:val="p"/>
          </m:rPr>
          <m:t>,</m:t>
        </m:r>
        <m:r>
          <m:t>i</m:t>
        </m:r>
        <m:r>
          <m:t>m</m:t>
        </m:r>
        <m:r>
          <m:t>p</m:t>
        </m:r>
        <m:r>
          <m:t>l</m:t>
        </m:r>
        <m:r>
          <m:t>y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12.80–$13.05**, following a $1.4375 billion convertible-note offering and concurrent repurchases.</w:t>
      </w:r>
    </w:p>
    <w:p>
      <w:pPr>
        <w:pStyle w:val="BodyText"/>
      </w:pPr>
      <w:r>
        <w:t xml:space="preserve">Tyler issued the notes at a 0.50% coupon and used $320.7 million to repurchase approximately 1.03 million shares. Including earlier repurchases, the company had bought approximately 2.1 million shares for $667 million year to date as of May 14. Capped calls increased the effective conversion price to approximately $655.77. (</w:t>
      </w:r>
      <w:hyperlink r:id="rId20">
        <w:r>
          <w:rPr>
            <w:rStyle w:val="Hyperlink"/>
          </w:rPr>
          <w:t xml:space="preserve">investors.tylertech.com</w:t>
        </w:r>
      </w:hyperlink>
      <w:r>
        <w:t xml:space="preserve">)</w:t>
      </w:r>
    </w:p>
    <w:p>
      <w:pPr>
        <w:pStyle w:val="BodyText"/>
      </w:pPr>
      <w:r>
        <w:t xml:space="preserve">Two implications matter: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Headline EPS is less useful than usual.</w:t>
      </w:r>
      <w:r>
        <w:t xml:space="preserve"> </w:t>
      </w:r>
      <w:r>
        <w:t xml:space="preserve">Lower share count and higher interest income can lift EPS without changing operating performance.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 further EPS increase should be examined carefully.</w:t>
      </w:r>
      <w:r>
        <w:t xml:space="preserve"> </w:t>
      </w:r>
      <w:r>
        <w:t xml:space="preserve">Investors should determine how much comes from operations versus financing assumptions.</w:t>
      </w:r>
    </w:p>
    <w:p>
      <w:pPr>
        <w:pStyle w:val="FirstParagraph"/>
      </w:pPr>
      <w:r>
        <w:t xml:space="preserve">Management said approximately 53% of full-year EPS should occur in the second half, so Q2 does not need to capture the full financing benefit.</w:t>
      </w:r>
    </w:p>
    <w:p>
      <w:r>
        <w:pict>
          <v:rect style="width:0;height:1.5pt" o:hralign="center" o:hrstd="t" o:hr="t"/>
        </w:pict>
      </w:r>
    </w:p>
    <w:bookmarkEnd w:id="21"/>
    <w:bookmarkStart w:id="25" w:name="earnings-scorecard"/>
    <w:p>
      <w:pPr>
        <w:pStyle w:val="Heading2"/>
      </w:pPr>
      <w:r>
        <w:t xml:space="preserve">Earnings scorecard</w:t>
      </w:r>
    </w:p>
    <w:bookmarkStart w:id="22" w:name="bullish-print"/>
    <w:p>
      <w:pPr>
        <w:pStyle w:val="Heading3"/>
      </w:pPr>
      <w:r>
        <w:t xml:space="preserve">Bullish print</w:t>
      </w:r>
    </w:p>
    <w:p>
      <w:pPr>
        <w:pStyle w:val="Compact"/>
        <w:numPr>
          <w:ilvl w:val="0"/>
          <w:numId w:val="1010"/>
        </w:numPr>
      </w:pPr>
      <w:r>
        <w:t xml:space="preserve">Revenue above roughly</w:t>
      </w:r>
      <w:r>
        <w:t xml:space="preserve"> </w:t>
      </w:r>
      <w:r>
        <w:rPr>
          <w:b/>
          <w:bCs/>
        </w:rPr>
        <w:t xml:space="preserve">$655 million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SaaS growth of</w:t>
      </w:r>
      <w:r>
        <w:t xml:space="preserve"> </w:t>
      </w:r>
      <w:r>
        <w:rPr>
          <w:b/>
          <w:bCs/>
        </w:rPr>
        <w:t xml:space="preserve">22%+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Recurring-revenue growth accelerating from Q1.</w:t>
      </w:r>
    </w:p>
    <w:p>
      <w:pPr>
        <w:pStyle w:val="Compact"/>
        <w:numPr>
          <w:ilvl w:val="0"/>
          <w:numId w:val="1010"/>
        </w:numPr>
      </w:pPr>
      <w:r>
        <w:t xml:space="preserve">Non-GAAP operating margin around</w:t>
      </w:r>
      <w:r>
        <w:t xml:space="preserve"> </w:t>
      </w:r>
      <w:r>
        <w:rPr>
          <w:b/>
          <w:bCs/>
        </w:rPr>
        <w:t xml:space="preserve">27% or better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Strong bookings without dependence on a single large contract.</w:t>
      </w:r>
    </w:p>
    <w:p>
      <w:pPr>
        <w:pStyle w:val="Compact"/>
        <w:numPr>
          <w:ilvl w:val="0"/>
          <w:numId w:val="1010"/>
        </w:numPr>
      </w:pPr>
      <w:r>
        <w:t xml:space="preserve">Revenue or free-cash-flow guidance raised for operating reasons.</w:t>
      </w:r>
    </w:p>
    <w:p>
      <w:pPr>
        <w:pStyle w:val="Compact"/>
        <w:numPr>
          <w:ilvl w:val="0"/>
          <w:numId w:val="1010"/>
        </w:numPr>
      </w:pPr>
      <w:r>
        <w:t xml:space="preserve">Positive FTR integration and organic-growth commentary.</w:t>
      </w:r>
    </w:p>
    <w:bookmarkEnd w:id="22"/>
    <w:bookmarkStart w:id="23" w:name="acceptablebase-case-print"/>
    <w:p>
      <w:pPr>
        <w:pStyle w:val="Heading3"/>
      </w:pPr>
      <w:r>
        <w:t xml:space="preserve">Acceptable/base-case print</w:t>
      </w:r>
    </w:p>
    <w:p>
      <w:pPr>
        <w:pStyle w:val="Compact"/>
        <w:numPr>
          <w:ilvl w:val="0"/>
          <w:numId w:val="1011"/>
        </w:numPr>
      </w:pPr>
      <w:r>
        <w:t xml:space="preserve">Revenue of approximately</w:t>
      </w:r>
      <w:r>
        <w:t xml:space="preserve"> </w:t>
      </w:r>
      <m:oMath>
        <m:r>
          <m:t>648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655M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t xml:space="preserve">Non-GAAP EPS around</w:t>
      </w:r>
      <w:r>
        <w:t xml:space="preserve"> </w:t>
      </w:r>
      <m:oMath>
        <m:r>
          <m:t>3.00</m:t>
        </m:r>
        <m:r>
          <m:rPr>
            <m:sty m:val="p"/>
          </m:rPr>
          <m:t>–</m:t>
        </m:r>
      </m:oMath>
      <w:r>
        <w:rPr>
          <w:b/>
          <w:bCs/>
        </w:rPr>
        <w:t xml:space="preserve">3.10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t xml:space="preserve">SaaS growth remains above 20%.</w:t>
      </w:r>
    </w:p>
    <w:p>
      <w:pPr>
        <w:pStyle w:val="Compact"/>
        <w:numPr>
          <w:ilvl w:val="0"/>
          <w:numId w:val="1011"/>
        </w:numPr>
      </w:pPr>
      <w:r>
        <w:t xml:space="preserve">Moderate transaction growth against the difficult comparison.</w:t>
      </w:r>
    </w:p>
    <w:p>
      <w:pPr>
        <w:pStyle w:val="Compact"/>
        <w:numPr>
          <w:ilvl w:val="0"/>
          <w:numId w:val="1011"/>
        </w:numPr>
      </w:pPr>
      <w:r>
        <w:t xml:space="preserve">Margins expand modestly.</w:t>
      </w:r>
    </w:p>
    <w:p>
      <w:pPr>
        <w:pStyle w:val="Compact"/>
        <w:numPr>
          <w:ilvl w:val="0"/>
          <w:numId w:val="1011"/>
        </w:numPr>
      </w:pPr>
      <w:r>
        <w:t xml:space="preserve">Full-year revenue and cash-flow guidance reiterated.</w:t>
      </w:r>
    </w:p>
    <w:bookmarkEnd w:id="23"/>
    <w:bookmarkStart w:id="24" w:name="bearish-print"/>
    <w:p>
      <w:pPr>
        <w:pStyle w:val="Heading3"/>
      </w:pPr>
      <w:r>
        <w:t xml:space="preserve">Bearish print</w:t>
      </w:r>
    </w:p>
    <w:p>
      <w:pPr>
        <w:pStyle w:val="Compact"/>
        <w:numPr>
          <w:ilvl w:val="0"/>
          <w:numId w:val="1012"/>
        </w:numPr>
      </w:pPr>
      <w:r>
        <w:t xml:space="preserve">Revenue below roughly</w:t>
      </w:r>
      <w:r>
        <w:t xml:space="preserve"> </w:t>
      </w:r>
      <w:r>
        <w:rPr>
          <w:b/>
          <w:bCs/>
        </w:rPr>
        <w:t xml:space="preserve">$645 million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SaaS growth breaks below 20%.</w:t>
      </w:r>
    </w:p>
    <w:p>
      <w:pPr>
        <w:pStyle w:val="Compact"/>
        <w:numPr>
          <w:ilvl w:val="0"/>
          <w:numId w:val="1012"/>
        </w:numPr>
      </w:pPr>
      <w:r>
        <w:t xml:space="preserve">Weak bookings, delayed implementations, or softer government budgets.</w:t>
      </w:r>
    </w:p>
    <w:p>
      <w:pPr>
        <w:pStyle w:val="Compact"/>
        <w:numPr>
          <w:ilvl w:val="0"/>
          <w:numId w:val="1012"/>
        </w:numPr>
      </w:pPr>
      <w:r>
        <w:t xml:space="preserve">Transaction growth turns negative without an offsetting mix benefit.</w:t>
      </w:r>
    </w:p>
    <w:p>
      <w:pPr>
        <w:pStyle w:val="Compact"/>
        <w:numPr>
          <w:ilvl w:val="0"/>
          <w:numId w:val="1012"/>
        </w:numPr>
      </w:pPr>
      <w:r>
        <w:t xml:space="preserve">Margins contract despite the favorable recurring-revenue mix.</w:t>
      </w:r>
    </w:p>
    <w:p>
      <w:pPr>
        <w:pStyle w:val="Compact"/>
        <w:numPr>
          <w:ilvl w:val="0"/>
          <w:numId w:val="1012"/>
        </w:numPr>
      </w:pPr>
      <w:r>
        <w:t xml:space="preserve">Organic guidance is reduced or FTR is used to mask weaker core growth.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cleanest measure of Q2 is not whether Tyler beats EPS by a few cents. Investors should focus on the combination of</w:t>
      </w:r>
      <w:r>
        <w:t xml:space="preserve"> </w:t>
      </w:r>
      <w:r>
        <w:rPr>
          <w:b/>
          <w:bCs/>
        </w:rPr>
        <w:t xml:space="preserve">SaaS growth, recurring-revenue growth, bookings, and operating-margin progression</w:t>
      </w:r>
      <w:r>
        <w:t xml:space="preserve">.</w:t>
      </w:r>
    </w:p>
    <w:p>
      <w:pPr>
        <w:pStyle w:val="BodyText"/>
      </w:pPr>
      <w:r>
        <w:t xml:space="preserve">A solid report would show that Tyler can sustain low-20s SaaS growth while expanding margins and absorbing increased AI and cloud investment. That would reinforce the June Investor Day framework of 10%–12% recurring-revenue growth, approximately 20% SaaS growth, and materially higher free cash flow through 2030.</w:t>
      </w:r>
    </w:p>
    <w:p>
      <w:pPr>
        <w:pStyle w:val="BodyText"/>
      </w:pPr>
      <w:r>
        <w:t xml:space="preserve">The main near-term risk is that a headline beat is driven principally by FTR, interest income, and buybacks while organic growth or bookings soften. Conversely, a clean SaaS-and-margin beat would provide much stronger evidence that the long-term cloud-conversion thesis is working.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https://investors.tylertech.com/news/news-details/2026/Tyler-Technologies-Inc--Announces-Closing-of-Upsized-Offering-of-1437500000-of-0-50-Convertible-Senior-Notes-due-2031/default.aspx?utm_source=openai" TargetMode="External" /><Relationship Type="http://schemas.openxmlformats.org/officeDocument/2006/relationships/hyperlink" Id="rId9" Target="https://investors.tylertech.com/news/news-details/2026/Tyler-Technologies-Schedules-Second-Quarter-2026-Earnings-Conference-Call-and-Webcast/default.aspx?utm_source=openai" TargetMode="External" /><Relationship Type="http://schemas.openxmlformats.org/officeDocument/2006/relationships/hyperlink" Id="rId13" Target="https://investors.tylertech.com/news/news-details/2026/Tyler-Technologies-Shares-2026-Investor-Day-Presentation/default.aspx?utm_source=openai" TargetMode="External" /><Relationship Type="http://schemas.openxmlformats.org/officeDocument/2006/relationships/hyperlink" Id="rId11" Target="https://www.benzinga.com/quote/TYL/earning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investors.tylertech.com/news/news-details/2026/Tyler-Technologies-Inc--Announces-Closing-of-Upsized-Offering-of-1437500000-of-0-50-Convertible-Senior-Notes-due-2031/default.aspx?utm_source=openai" TargetMode="External" /><Relationship Type="http://schemas.openxmlformats.org/officeDocument/2006/relationships/hyperlink" Id="rId9" Target="https://investors.tylertech.com/news/news-details/2026/Tyler-Technologies-Schedules-Second-Quarter-2026-Earnings-Conference-Call-and-Webcast/default.aspx?utm_source=openai" TargetMode="External" /><Relationship Type="http://schemas.openxmlformats.org/officeDocument/2006/relationships/hyperlink" Id="rId13" Target="https://investors.tylertech.com/news/news-details/2026/Tyler-Technologies-Shares-2026-Investor-Day-Presentation/default.aspx?utm_source=openai" TargetMode="External" /><Relationship Type="http://schemas.openxmlformats.org/officeDocument/2006/relationships/hyperlink" Id="rId11" Target="https://www.benzinga.com/quote/TYL/earning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2026-07-29T02:12:59Z</dcterms:created>
  <dcterms:modified xsi:type="dcterms:W3CDTF">2026-07-29T02:12:59Z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