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yl-earnings-predictions--2026-07-29"/>
    <w:p>
      <w:pPr>
        <w:pStyle w:val="Heading1"/>
      </w:pPr>
      <w:r>
        <w:t xml:space="preserve">TYL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~$653M vs. cons $646M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~$3.07 vs. cons $3.03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SaaS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~21.5% vs. cons 20.0%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total-revenue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~$2.555B vs. cons $2.557B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diluted-EPS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~$12.93 vs. cons $12.94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free-cash-flow-margin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~27.0% vs. cons 27.0%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2H26 EPS seasonality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~53% of FY26 EPS vs. cons 53%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TYL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(STABILIZE)</w:t>
            </w:r>
          </w:p>
        </w:tc>
        <w:tc>
          <w:tcPr/>
          <w:p>
            <w:pPr>
              <w:pStyle w:val="Compact"/>
            </w:pPr>
            <w:r>
              <w:t xml:space="preserve">A modest revenue/EPS/SaaS beat and healthy cloud-conversion commentary should support the initial move, but an unchanged FY26 revenue, EPS, and FCF framework leaves out-period FY27 math broadly intact: ~0% FY27 estimate revision versus ~+2% initial valuation-driven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2026-07-29T02:11:25Z</dcterms:created>
  <dcterms:modified xsi:type="dcterms:W3CDTF">2026-07-29T02:11:25Z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