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637ea182593ac91368c7d82ce5c8e2e8bb429f7"/>
    <w:p>
      <w:pPr>
        <w:pStyle w:val="Heading1"/>
      </w:pPr>
      <w:r>
        <w:t xml:space="preserve">Tyler Technologies (NYSE: TYL) — 2Q26 Earnings Preview</w:t>
      </w:r>
    </w:p>
    <w:p>
      <w:pPr>
        <w:pStyle w:val="BlockText"/>
      </w:pPr>
      <w:r>
        <w:rPr>
          <w:b/>
          <w:bCs/>
        </w:rPr>
        <w:t xml:space="preserve">Timing note:</w:t>
      </w:r>
      <w:r>
        <w:t xml:space="preserve"> </w:t>
      </w:r>
      <w:r>
        <w:t xml:space="preserve">Tyler is scheduled to release 2Q26 results</w:t>
      </w:r>
      <w:r>
        <w:t xml:space="preserve"> </w:t>
      </w:r>
      <w:r>
        <w:rPr>
          <w:b/>
          <w:bCs/>
        </w:rPr>
        <w:t xml:space="preserve">after the market close today, Wednesday, July 29, 2026</w:t>
      </w:r>
      <w:r>
        <w:t xml:space="preserve">. Its earnings call is</w:t>
      </w:r>
      <w:r>
        <w:t xml:space="preserve"> </w:t>
      </w:r>
      <w:r>
        <w:rPr>
          <w:b/>
          <w:bCs/>
        </w:rPr>
        <w:t xml:space="preserve">Thursday, July 30, 2026, at 8:30 a.m. ET</w:t>
      </w:r>
      <w:r>
        <w:t xml:space="preserve">—not tomorrow.</w:t>
      </w:r>
    </w:p>
    <w:bookmarkStart w:id="9" w:name="investment-setup"/>
    <w:p>
      <w:pPr>
        <w:pStyle w:val="Heading2"/>
      </w:pPr>
      <w:r>
        <w:t xml:space="preserve">Investment setup</w:t>
      </w:r>
    </w:p>
    <w:p>
      <w:pPr>
        <w:pStyle w:val="FirstParagraph"/>
      </w:pPr>
      <w:r>
        <w:t xml:space="preserve">TYL enters 2Q with a favorable fundamental backdrop but a higher bar around execution. The company’s April 1Q print showed accelerating SaaS growth, strong bookings commentary, margin expansion, and materially better free cash flow. June’s Investor Day then reinforced the long-term narrative: accelerated cloud conversions, more cross-sell, an expanding transaction-funded software opportunity, AI monetization, and a higher 2030 free-cash-flow target.</w:t>
      </w:r>
    </w:p>
    <w:p>
      <w:pPr>
        <w:pStyle w:val="BodyText"/>
      </w:pPr>
      <w:r>
        <w:t xml:space="preserve">The key issue for this report is therefore less whether Tyler can produce solid reported growth, and more whether it can</w:t>
      </w:r>
      <w:r>
        <w:t xml:space="preserve"> </w:t>
      </w:r>
      <w:r>
        <w:rPr>
          <w:b/>
          <w:bCs/>
        </w:rPr>
        <w:t xml:space="preserve">validate that the strategic drivers are converting into near-term financial momentum</w:t>
      </w:r>
      <w:r>
        <w:t xml:space="preserve">—especially SaaS, cloud flips, transactions, and margins—while sustaining its 2026 guide.</w:t>
      </w:r>
    </w:p>
    <w:bookmarkEnd w:id="9"/>
    <w:bookmarkStart w:id="14" w:name="what-matters-most-this-quarter"/>
    <w:p>
      <w:pPr>
        <w:pStyle w:val="Heading2"/>
      </w:pPr>
      <w:r>
        <w:t xml:space="preserve">What matters most this quarter</w:t>
      </w:r>
    </w:p>
    <w:bookmarkStart w:id="10" w:name="X323ff5906a3a70df64c07ace6cdc8dc23787b7c"/>
    <w:p>
      <w:pPr>
        <w:pStyle w:val="Heading3"/>
      </w:pPr>
      <w:r>
        <w:t xml:space="preserve">1. SaaS growth and the cloud-transition proof points</w:t>
      </w:r>
    </w:p>
    <w:p>
      <w:pPr>
        <w:pStyle w:val="FirstParagraph"/>
      </w:pPr>
      <w:r>
        <w:t xml:space="preserve">SaaS was the standout in 1Q: revenue grew</w:t>
      </w:r>
      <w:r>
        <w:t xml:space="preserve"> </w:t>
      </w:r>
      <w:r>
        <w:rPr>
          <w:b/>
          <w:bCs/>
        </w:rPr>
        <w:t xml:space="preserve">23.5% year over year</w:t>
      </w:r>
      <w:r>
        <w:t xml:space="preserve"> </w:t>
      </w:r>
      <w:r>
        <w:t xml:space="preserve">to $222.4 million, extending Tyler’s streak of 20%+ SaaS growth. Management has described customer willingness to migrate as increasingly strong, with public-safety customers in particular now largely cloud-oriented.</w:t>
      </w:r>
    </w:p>
    <w:p>
      <w:pPr>
        <w:pStyle w:val="BodyText"/>
      </w:pPr>
      <w:r>
        <w:t xml:space="preserve">For 2Q, investors should focus on:</w:t>
      </w:r>
    </w:p>
    <w:p>
      <w:pPr>
        <w:pStyle w:val="Compact"/>
        <w:numPr>
          <w:ilvl w:val="0"/>
          <w:numId w:val="1001"/>
        </w:numPr>
      </w:pPr>
      <w:r>
        <w:rPr>
          <w:b/>
          <w:bCs/>
        </w:rPr>
        <w:t xml:space="preserve">SaaS growth durability</w:t>
      </w:r>
      <w:r>
        <w:t xml:space="preserve">: Can Tyler remain near or above the low-20% growth pace?</w:t>
      </w:r>
    </w:p>
    <w:p>
      <w:pPr>
        <w:pStyle w:val="Compact"/>
        <w:numPr>
          <w:ilvl w:val="0"/>
          <w:numId w:val="1001"/>
        </w:numPr>
      </w:pPr>
      <w:r>
        <w:rPr>
          <w:b/>
          <w:bCs/>
        </w:rPr>
        <w:t xml:space="preserve">Cloud-flip activity</w:t>
      </w:r>
      <w:r>
        <w:t xml:space="preserve">: Commentary on the dollar volume of maintenance converted to SaaS matters more than quarterly customer counts.</w:t>
      </w:r>
    </w:p>
    <w:p>
      <w:pPr>
        <w:pStyle w:val="Compact"/>
        <w:numPr>
          <w:ilvl w:val="0"/>
          <w:numId w:val="1001"/>
        </w:numPr>
      </w:pPr>
      <w:r>
        <w:rPr>
          <w:b/>
          <w:bCs/>
        </w:rPr>
        <w:t xml:space="preserve">ARR growth</w:t>
      </w:r>
      <w:r>
        <w:t xml:space="preserve">: 1Q ARR grew 10.4% to $2.15 billion; sustained double-digit ARR growth would support the long-range model.</w:t>
      </w:r>
    </w:p>
    <w:p>
      <w:pPr>
        <w:pStyle w:val="Compact"/>
        <w:numPr>
          <w:ilvl w:val="0"/>
          <w:numId w:val="1001"/>
        </w:numPr>
      </w:pPr>
      <w:r>
        <w:rPr>
          <w:b/>
          <w:bCs/>
        </w:rPr>
        <w:t xml:space="preserve">Maintenance trajectory</w:t>
      </w:r>
      <w:r>
        <w:t xml:space="preserve">: A controlled decline in maintenance is constructive if it reflects conversions to higher-value SaaS contracts rather than customer attrition.</w:t>
      </w:r>
    </w:p>
    <w:p>
      <w:pPr>
        <w:pStyle w:val="FirstParagraph"/>
      </w:pPr>
      <w:r>
        <w:t xml:space="preserve">The medium-term opportunity is compelling: Tyler estimates that a maintenance-to-SaaS conversion produces about a</w:t>
      </w:r>
      <w:r>
        <w:t xml:space="preserve"> </w:t>
      </w:r>
      <w:r>
        <w:rPr>
          <w:b/>
          <w:bCs/>
        </w:rPr>
        <w:t xml:space="preserve">1.7x ARR uplift</w:t>
      </w:r>
      <w:r>
        <w:t xml:space="preserve">, and it targets conversion of approximately</w:t>
      </w:r>
      <w:r>
        <w:t xml:space="preserve"> </w:t>
      </w:r>
      <w:r>
        <w:rPr>
          <w:b/>
          <w:bCs/>
        </w:rPr>
        <w:t xml:space="preserve">85% of the relevant maintenance base by 2030</w:t>
      </w:r>
      <w:r>
        <w:t xml:space="preserve">. The near-term risk is simply timing: large government migrations require client budgeting, readiness, and implementation planning, so flips can be lumpy quarter to quarter.</w:t>
      </w:r>
    </w:p>
    <w:bookmarkEnd w:id="10"/>
    <w:bookmarkStart w:id="11" w:name="X7d481abe4c356519d6103415b0fc9a951c4fa42"/>
    <w:p>
      <w:pPr>
        <w:pStyle w:val="Heading3"/>
      </w:pPr>
      <w:r>
        <w:t xml:space="preserve">2. Bookings and public-sector demand</w:t>
      </w:r>
    </w:p>
    <w:p>
      <w:pPr>
        <w:pStyle w:val="FirstParagraph"/>
      </w:pPr>
      <w:r>
        <w:t xml:space="preserve">Management characterized 1Q bookings as very strong, with a healthy RFP environment, steady win rates, and no reliance on a single large SaaS deal. That is important because it indicates broad-based demand rather than a one-off contract contribution.</w:t>
      </w:r>
    </w:p>
    <w:p>
      <w:pPr>
        <w:pStyle w:val="BodyText"/>
      </w:pPr>
      <w:r>
        <w:t xml:space="preserve">Investors will want evidence that this continued through 2Q:</w:t>
      </w:r>
    </w:p>
    <w:p>
      <w:pPr>
        <w:pStyle w:val="Compact"/>
        <w:numPr>
          <w:ilvl w:val="0"/>
          <w:numId w:val="1002"/>
        </w:numPr>
      </w:pPr>
      <w:r>
        <w:t xml:space="preserve">RFP volume and win-rate commentary;</w:t>
      </w:r>
    </w:p>
    <w:p>
      <w:pPr>
        <w:pStyle w:val="Compact"/>
        <w:numPr>
          <w:ilvl w:val="0"/>
          <w:numId w:val="1002"/>
        </w:numPr>
      </w:pPr>
      <w:r>
        <w:t xml:space="preserve">New-logo activity versus cross-sell/upsell;</w:t>
      </w:r>
    </w:p>
    <w:p>
      <w:pPr>
        <w:pStyle w:val="Compact"/>
        <w:numPr>
          <w:ilvl w:val="0"/>
          <w:numId w:val="1002"/>
        </w:numPr>
      </w:pPr>
      <w:r>
        <w:t xml:space="preserve">Larger state, county, courts, ERP, public-safety, and regulatory opportunities;</w:t>
      </w:r>
    </w:p>
    <w:p>
      <w:pPr>
        <w:pStyle w:val="Compact"/>
        <w:numPr>
          <w:ilvl w:val="0"/>
          <w:numId w:val="1002"/>
        </w:numPr>
      </w:pPr>
      <w:r>
        <w:t xml:space="preserve">Whether clients are buying broader product suites as they move to the cloud.</w:t>
      </w:r>
    </w:p>
    <w:p>
      <w:pPr>
        <w:pStyle w:val="FirstParagraph"/>
      </w:pPr>
      <w:r>
        <w:t xml:space="preserve">Tyler’s central cross-sell thesis is substantial: management says the average customer uses roughly three products today, versus a long-term opportunity of eight to ten products. The Investor Day also highlighted more coordinated state sales efforts and a “One Tyler” go-to-market approach, which could make cross-sell a more tangible growth contributor over time.</w:t>
      </w:r>
    </w:p>
    <w:bookmarkEnd w:id="11"/>
    <w:bookmarkStart w:id="12" w:name="X8873905c4d4b9e67c41cb15d3019a18358f80a4"/>
    <w:p>
      <w:pPr>
        <w:pStyle w:val="Heading3"/>
      </w:pPr>
      <w:r>
        <w:t xml:space="preserve">3. Transactions: growth quality matters more than headline growth</w:t>
      </w:r>
    </w:p>
    <w:p>
      <w:pPr>
        <w:pStyle w:val="FirstParagraph"/>
      </w:pPr>
      <w:r>
        <w:t xml:space="preserve">Transactions are a meaningful part of the story, but investors should look beneath the growth rate. Tyler is increasingly prioritizing</w:t>
      </w:r>
      <w:r>
        <w:t xml:space="preserve"> </w:t>
      </w:r>
      <w:r>
        <w:rPr>
          <w:b/>
          <w:bCs/>
        </w:rPr>
        <w:t xml:space="preserve">higher-margin, transaction-funded software</w:t>
      </w:r>
      <w:r>
        <w:t xml:space="preserve"> </w:t>
      </w:r>
      <w:r>
        <w:t xml:space="preserve">and integrated payments/workflow solutions rather than more commoditized payments activity.</w:t>
      </w:r>
    </w:p>
    <w:p>
      <w:pPr>
        <w:pStyle w:val="BodyText"/>
      </w:pPr>
      <w:r>
        <w:t xml:space="preserve">Two items are particularly relevant:</w:t>
      </w:r>
    </w:p>
    <w:p>
      <w:pPr>
        <w:pStyle w:val="Compact"/>
        <w:numPr>
          <w:ilvl w:val="0"/>
          <w:numId w:val="1003"/>
        </w:numPr>
      </w:pPr>
      <w:r>
        <w:t xml:space="preserve">In 1Q, transaction revenue grew</w:t>
      </w:r>
      <w:r>
        <w:t xml:space="preserve"> </w:t>
      </w:r>
      <w:r>
        <w:rPr>
          <w:b/>
          <w:bCs/>
        </w:rPr>
        <w:t xml:space="preserve">6.4%</w:t>
      </w:r>
      <w:r>
        <w:t xml:space="preserve">, while management indicated better-than-expected volumes helped support the 2026 outlook.</w:t>
      </w:r>
    </w:p>
    <w:p>
      <w:pPr>
        <w:pStyle w:val="Compact"/>
        <w:numPr>
          <w:ilvl w:val="0"/>
          <w:numId w:val="1003"/>
        </w:numPr>
      </w:pPr>
      <w:r>
        <w:t xml:space="preserve">Tyler won a statewide digital motor-vehicle titling arrangement expected to generate</w:t>
      </w:r>
      <w:r>
        <w:t xml:space="preserve"> </w:t>
      </w:r>
      <w:r>
        <w:rPr>
          <w:b/>
          <w:bCs/>
        </w:rPr>
        <w:t xml:space="preserve">more than $20 million of annual transaction revenue at full ramp</w:t>
      </w:r>
      <w:r>
        <w:t xml:space="preserve">, though revenue is not expected to begin until the first half of 2027.</w:t>
      </w:r>
    </w:p>
    <w:p>
      <w:pPr>
        <w:pStyle w:val="FirstParagraph"/>
      </w:pPr>
      <w:r>
        <w:t xml:space="preserve">The 2Q question is whether transaction volumes remain healthy and whether management offers further evidence of pipeline depth in transaction-funded software. This category can create attractive growth without the same dependence on government appropriations, but revenue timing and adoption ramp can be variable.</w:t>
      </w:r>
    </w:p>
    <w:bookmarkEnd w:id="12"/>
    <w:bookmarkStart w:id="13" w:name="Xd4711afb6097a6f7625a28d2fdeb5d31d435429"/>
    <w:p>
      <w:pPr>
        <w:pStyle w:val="Heading3"/>
      </w:pPr>
      <w:r>
        <w:t xml:space="preserve">4. Margin and free-cash-flow conversion</w:t>
      </w:r>
    </w:p>
    <w:p>
      <w:pPr>
        <w:pStyle w:val="FirstParagraph"/>
      </w:pPr>
      <w:r>
        <w:t xml:space="preserve">TYL’s 1Q margins were encouraging:</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1Q26 metric</w:t>
            </w:r>
          </w:p>
        </w:tc>
        <w:tc>
          <w:tcPr/>
          <w:p>
            <w:pPr>
              <w:pStyle w:val="Compact"/>
              <w:jc w:val="right"/>
            </w:pPr>
            <w:r>
              <w:t xml:space="preserve">Result</w:t>
            </w:r>
          </w:p>
        </w:tc>
        <w:tc>
          <w:tcPr/>
          <w:p>
            <w:pPr>
              <w:pStyle w:val="Compact"/>
              <w:jc w:val="right"/>
            </w:pPr>
            <w:r>
              <w:t xml:space="preserve">YoY change</w:t>
            </w:r>
          </w:p>
        </w:tc>
      </w:tr>
      <w:tr>
        <w:tc>
          <w:tcPr/>
          <w:p>
            <w:pPr>
              <w:pStyle w:val="Compact"/>
            </w:pPr>
            <w:r>
              <w:t xml:space="preserve">Revenue</w:t>
            </w:r>
          </w:p>
        </w:tc>
        <w:tc>
          <w:tcPr/>
          <w:p>
            <w:pPr>
              <w:pStyle w:val="Compact"/>
              <w:jc w:val="right"/>
            </w:pPr>
            <w:r>
              <w:t xml:space="preserve">$613.5M</w:t>
            </w:r>
          </w:p>
        </w:tc>
        <w:tc>
          <w:tcPr/>
          <w:p>
            <w:pPr>
              <w:pStyle w:val="Compact"/>
              <w:jc w:val="right"/>
            </w:pPr>
            <w:r>
              <w:t xml:space="preserve">+8.6%</w:t>
            </w:r>
          </w:p>
        </w:tc>
      </w:tr>
      <w:tr>
        <w:tc>
          <w:tcPr/>
          <w:p>
            <w:pPr>
              <w:pStyle w:val="Compact"/>
            </w:pPr>
            <w:r>
              <w:t xml:space="preserve">Recurring revenue</w:t>
            </w:r>
          </w:p>
        </w:tc>
        <w:tc>
          <w:tcPr/>
          <w:p>
            <w:pPr>
              <w:pStyle w:val="Compact"/>
              <w:jc w:val="right"/>
            </w:pPr>
            <w:r>
              <w:t xml:space="preserve">$538.6M</w:t>
            </w:r>
          </w:p>
        </w:tc>
        <w:tc>
          <w:tcPr/>
          <w:p>
            <w:pPr>
              <w:pStyle w:val="Compact"/>
              <w:jc w:val="right"/>
            </w:pPr>
            <w:r>
              <w:t xml:space="preserve">+10.4%</w:t>
            </w:r>
          </w:p>
        </w:tc>
      </w:tr>
      <w:tr>
        <w:tc>
          <w:tcPr/>
          <w:p>
            <w:pPr>
              <w:pStyle w:val="Compact"/>
            </w:pPr>
            <w:r>
              <w:t xml:space="preserve">Non-GAAP operating margin</w:t>
            </w:r>
          </w:p>
        </w:tc>
        <w:tc>
          <w:tcPr/>
          <w:p>
            <w:pPr>
              <w:pStyle w:val="Compact"/>
              <w:jc w:val="right"/>
            </w:pPr>
            <w:r>
              <w:t xml:space="preserve">27.2%</w:t>
            </w:r>
          </w:p>
        </w:tc>
        <w:tc>
          <w:tcPr/>
          <w:p>
            <w:pPr>
              <w:pStyle w:val="Compact"/>
              <w:jc w:val="right"/>
            </w:pPr>
            <w:r>
              <w:t xml:space="preserve">+40 bps</w:t>
            </w:r>
          </w:p>
        </w:tc>
      </w:tr>
      <w:tr>
        <w:tc>
          <w:tcPr/>
          <w:p>
            <w:pPr>
              <w:pStyle w:val="Compact"/>
            </w:pPr>
            <w:r>
              <w:t xml:space="preserve">Adjusted EBITDA</w:t>
            </w:r>
          </w:p>
        </w:tc>
        <w:tc>
          <w:tcPr/>
          <w:p>
            <w:pPr>
              <w:pStyle w:val="Compact"/>
              <w:jc w:val="right"/>
            </w:pPr>
            <w:r>
              <w:t xml:space="preserve">$177.3M</w:t>
            </w:r>
          </w:p>
        </w:tc>
        <w:tc>
          <w:tcPr/>
          <w:p>
            <w:pPr>
              <w:pStyle w:val="Compact"/>
              <w:jc w:val="right"/>
            </w:pPr>
            <w:r>
              <w:t xml:space="preserve">+9.3%</w:t>
            </w:r>
          </w:p>
        </w:tc>
      </w:tr>
      <w:tr>
        <w:tc>
          <w:tcPr/>
          <w:p>
            <w:pPr>
              <w:pStyle w:val="Compact"/>
            </w:pPr>
            <w:r>
              <w:t xml:space="preserve">Free cash flow</w:t>
            </w:r>
          </w:p>
        </w:tc>
        <w:tc>
          <w:tcPr/>
          <w:p>
            <w:pPr>
              <w:pStyle w:val="Compact"/>
              <w:jc w:val="right"/>
            </w:pPr>
            <w:r>
              <w:t xml:space="preserve">$102.8M</w:t>
            </w:r>
          </w:p>
        </w:tc>
        <w:tc>
          <w:tcPr/>
          <w:p>
            <w:pPr>
              <w:pStyle w:val="Compact"/>
              <w:jc w:val="right"/>
            </w:pPr>
            <w:r>
              <w:t xml:space="preserve">+112.9%</w:t>
            </w:r>
          </w:p>
        </w:tc>
      </w:tr>
    </w:tbl>
    <w:p>
      <w:pPr>
        <w:pStyle w:val="BodyText"/>
      </w:pPr>
      <w:r>
        <w:t xml:space="preserve">The free-cash-flow result benefited in part from working-capital timing and strong collections, so investors should avoid annualizing the 1Q margin. Still, it reinforced the underlying operating leverage from mix shift, cloud efficiencies, and disciplined spending.</w:t>
      </w:r>
    </w:p>
    <w:p>
      <w:pPr>
        <w:pStyle w:val="BodyText"/>
      </w:pPr>
      <w:r>
        <w:t xml:space="preserve">For 2Q, watch:</w:t>
      </w:r>
    </w:p>
    <w:p>
      <w:pPr>
        <w:pStyle w:val="Compact"/>
        <w:numPr>
          <w:ilvl w:val="0"/>
          <w:numId w:val="1004"/>
        </w:numPr>
      </w:pPr>
      <w:r>
        <w:t xml:space="preserve">Gross-margin progression as SaaS becomes a greater mix of revenue;</w:t>
      </w:r>
    </w:p>
    <w:p>
      <w:pPr>
        <w:pStyle w:val="Compact"/>
        <w:numPr>
          <w:ilvl w:val="0"/>
          <w:numId w:val="1004"/>
        </w:numPr>
      </w:pPr>
      <w:r>
        <w:t xml:space="preserve">Non-GAAP operating-margin expansion;</w:t>
      </w:r>
    </w:p>
    <w:p>
      <w:pPr>
        <w:pStyle w:val="Compact"/>
        <w:numPr>
          <w:ilvl w:val="0"/>
          <w:numId w:val="1004"/>
        </w:numPr>
      </w:pPr>
      <w:r>
        <w:t xml:space="preserve">R&amp;D spending and whether AI/cloud investment remains controlled;</w:t>
      </w:r>
    </w:p>
    <w:p>
      <w:pPr>
        <w:pStyle w:val="Compact"/>
        <w:numPr>
          <w:ilvl w:val="0"/>
          <w:numId w:val="1004"/>
        </w:numPr>
      </w:pPr>
      <w:r>
        <w:t xml:space="preserve">Free-cash-flow conversion and management’s confidence in the</w:t>
      </w:r>
      <w:r>
        <w:t xml:space="preserve"> </w:t>
      </w:r>
      <w:r>
        <w:rPr>
          <w:b/>
          <w:bCs/>
        </w:rPr>
        <w:t xml:space="preserve">26%–28% full-year FCF-margin guide</w:t>
      </w:r>
      <w:r>
        <w:t xml:space="preserve">.</w:t>
      </w:r>
    </w:p>
    <w:p>
      <w:pPr>
        <w:pStyle w:val="FirstParagraph"/>
      </w:pPr>
      <w:r>
        <w:t xml:space="preserve">At Investor Day, management outlined a path to</w:t>
      </w:r>
      <w:r>
        <w:t xml:space="preserve"> </w:t>
      </w:r>
      <w:r>
        <w:rPr>
          <w:b/>
          <w:bCs/>
        </w:rPr>
        <w:t xml:space="preserve">mid-30% operating margin</w:t>
      </w:r>
      <w:r>
        <w:t xml:space="preserve"> </w:t>
      </w:r>
      <w:r>
        <w:t xml:space="preserve">and</w:t>
      </w:r>
      <w:r>
        <w:t xml:space="preserve"> </w:t>
      </w:r>
      <w:r>
        <w:rPr>
          <w:b/>
          <w:bCs/>
        </w:rPr>
        <w:t xml:space="preserve">low-30% FCF margin</w:t>
      </w:r>
      <w:r>
        <w:t xml:space="preserve"> </w:t>
      </w:r>
      <w:r>
        <w:t xml:space="preserve">by 2030, driven by cloud efficiencies, higher-value transactions, AI-enabled productivity, and opex leverage. The immediate bar is much lower: show that 2026 margin progress remains intact while investing for that longer-term opportunity.</w:t>
      </w:r>
    </w:p>
    <w:bookmarkEnd w:id="13"/>
    <w:bookmarkEnd w:id="14"/>
    <w:bookmarkStart w:id="15" w:name="X57d19cbb74d1cac9314cfd6cc06e5f8c6d617b6"/>
    <w:p>
      <w:pPr>
        <w:pStyle w:val="Heading2"/>
      </w:pPr>
      <w:r>
        <w:t xml:space="preserve">Guidance: the most important financial read-through</w:t>
      </w:r>
    </w:p>
    <w:p>
      <w:pPr>
        <w:pStyle w:val="FirstParagraph"/>
      </w:pPr>
      <w:r>
        <w:t xml:space="preserve">After 1Q, Tyler guided to:</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FY26 guidance</w:t>
            </w:r>
          </w:p>
        </w:tc>
        <w:tc>
          <w:tcPr/>
          <w:p>
            <w:pPr>
              <w:pStyle w:val="Compact"/>
              <w:jc w:val="right"/>
            </w:pPr>
            <w:r>
              <w:t xml:space="preserve">Range</w:t>
            </w:r>
          </w:p>
        </w:tc>
      </w:tr>
      <w:tr>
        <w:tc>
          <w:tcPr/>
          <w:p>
            <w:pPr>
              <w:pStyle w:val="Compact"/>
            </w:pPr>
            <w:r>
              <w:t xml:space="preserve">Revenue</w:t>
            </w:r>
          </w:p>
        </w:tc>
        <w:tc>
          <w:tcPr/>
          <w:p>
            <w:pPr>
              <w:pStyle w:val="Compact"/>
              <w:jc w:val="right"/>
            </w:pPr>
            <m:oMath>
              <m:r>
                <m:t>2.535</m:t>
              </m:r>
              <m:r>
                <m:t>B</m:t>
              </m:r>
              <m:r>
                <m:rPr>
                  <m:sty m:val="p"/>
                </m:rPr>
                <m:t>–</m:t>
              </m:r>
            </m:oMath>
            <w:r>
              <w:rPr>
                <w:b/>
                <w:bCs/>
              </w:rPr>
              <w:t xml:space="preserve">2.575B</w:t>
            </w:r>
          </w:p>
        </w:tc>
      </w:tr>
      <w:tr>
        <w:tc>
          <w:tcPr/>
          <w:p>
            <w:pPr>
              <w:pStyle w:val="Compact"/>
            </w:pPr>
            <w:r>
              <w:t xml:space="preserve">Non-GAAP diluted EPS</w:t>
            </w:r>
          </w:p>
        </w:tc>
        <w:tc>
          <w:tcPr/>
          <w:p>
            <w:pPr>
              <w:pStyle w:val="Compact"/>
              <w:jc w:val="right"/>
            </w:pPr>
            <m:oMath>
              <m:r>
                <m:t>12.50</m:t>
              </m:r>
              <m:r>
                <m:rPr>
                  <m:sty m:val="p"/>
                </m:rPr>
                <m:t>–</m:t>
              </m:r>
            </m:oMath>
            <w:r>
              <w:rPr>
                <w:b/>
                <w:bCs/>
              </w:rPr>
              <w:t xml:space="preserve">12.75</w:t>
            </w:r>
          </w:p>
        </w:tc>
      </w:tr>
      <w:tr>
        <w:tc>
          <w:tcPr/>
          <w:p>
            <w:pPr>
              <w:pStyle w:val="Compact"/>
            </w:pPr>
            <w:r>
              <w:t xml:space="preserve">Free-cash-flow margin</w:t>
            </w:r>
          </w:p>
        </w:tc>
        <w:tc>
          <w:tcPr/>
          <w:p>
            <w:pPr>
              <w:pStyle w:val="Compact"/>
              <w:jc w:val="right"/>
            </w:pPr>
            <w:r>
              <w:rPr>
                <w:b/>
                <w:bCs/>
              </w:rPr>
              <w:t xml:space="preserve">26%–28%</w:t>
            </w:r>
          </w:p>
        </w:tc>
      </w:tr>
    </w:tbl>
    <w:p>
      <w:pPr>
        <w:pStyle w:val="BodyText"/>
      </w:pPr>
      <w:r>
        <w:t xml:space="preserve">At the June Investor Day, Tyler raised both ends of its 2026 non-GAAP EPS range by</w:t>
      </w:r>
      <w:r>
        <w:t xml:space="preserve"> </w:t>
      </w:r>
      <m:oMath>
        <m:r>
          <m:t>0.30</m:t>
        </m:r>
        <m:r>
          <m:rPr>
            <m:sty m:val="p"/>
          </m:rPr>
          <m:t>*</m:t>
        </m:r>
        <m:r>
          <m:rPr>
            <m:sty m:val="p"/>
          </m:rPr>
          <m:t>*</m:t>
        </m:r>
        <m:r>
          <m:t>t</m:t>
        </m:r>
        <m:r>
          <m:t>o</m:t>
        </m:r>
        <m:r>
          <m:t>r</m:t>
        </m:r>
        <m:r>
          <m:t>e</m:t>
        </m:r>
        <m:r>
          <m:t>f</m:t>
        </m:r>
        <m:r>
          <m:t>l</m:t>
        </m:r>
        <m:r>
          <m:t>e</m:t>
        </m:r>
        <m:r>
          <m:t>c</m:t>
        </m:r>
        <m:r>
          <m:t>t</m:t>
        </m:r>
        <m:r>
          <m:t>t</m:t>
        </m:r>
        <m:r>
          <m:t>h</m:t>
        </m:r>
        <m:r>
          <m:t>e</m:t>
        </m:r>
        <m:r>
          <m:t>b</m:t>
        </m:r>
        <m:r>
          <m:t>e</m:t>
        </m:r>
        <m:r>
          <m:t>n</m:t>
        </m:r>
        <m:r>
          <m:t>e</m:t>
        </m:r>
        <m:r>
          <m:t>f</m:t>
        </m:r>
        <m:r>
          <m:t>i</m:t>
        </m:r>
        <m:r>
          <m:t>t</m:t>
        </m:r>
        <m:r>
          <m:t>o</m:t>
        </m:r>
        <m:r>
          <m:t>f</m:t>
        </m:r>
        <m:r>
          <m:t>t</m:t>
        </m:r>
        <m:r>
          <m:t>h</m:t>
        </m:r>
        <m:r>
          <m:t>e</m:t>
        </m:r>
        <m:r>
          <m:t>M</m:t>
        </m:r>
        <m:r>
          <m:t>a</m:t>
        </m:r>
        <m:r>
          <m:t>y</m:t>
        </m:r>
        <m:r>
          <m:t>c</m:t>
        </m:r>
        <m:r>
          <m:t>o</m:t>
        </m:r>
        <m:r>
          <m:t>n</m:t>
        </m:r>
        <m:r>
          <m:t>v</m:t>
        </m:r>
        <m:r>
          <m:t>e</m:t>
        </m:r>
        <m:r>
          <m:t>r</m:t>
        </m:r>
        <m:r>
          <m:t>t</m:t>
        </m:r>
        <m:r>
          <m:t>i</m:t>
        </m:r>
        <m:r>
          <m:t>b</m:t>
        </m:r>
        <m:r>
          <m:t>l</m:t>
        </m:r>
        <m:r>
          <m:t>e</m:t>
        </m:r>
        <m:r>
          <m:t>o</m:t>
        </m:r>
        <m:r>
          <m:t>f</m:t>
        </m:r>
        <m:r>
          <m:t>f</m:t>
        </m:r>
        <m:r>
          <m:t>e</m:t>
        </m:r>
        <m:r>
          <m:t>r</m:t>
        </m:r>
        <m:r>
          <m:t>i</m:t>
        </m:r>
        <m:r>
          <m:t>n</m:t>
        </m:r>
        <m:r>
          <m:t>g</m:t>
        </m:r>
        <m:r>
          <m:rPr>
            <m:sty m:val="p"/>
          </m:rPr>
          <m:t>,</m:t>
        </m:r>
        <m:r>
          <m:t>h</m:t>
        </m:r>
        <m:r>
          <m:t>i</m:t>
        </m:r>
        <m:r>
          <m:t>g</m:t>
        </m:r>
        <m:r>
          <m:t>h</m:t>
        </m:r>
        <m:r>
          <m:t>e</m:t>
        </m:r>
        <m:r>
          <m:t>r</m:t>
        </m:r>
        <m:r>
          <m:t>n</m:t>
        </m:r>
        <m:r>
          <m:t>e</m:t>
        </m:r>
        <m:r>
          <m:t>t</m:t>
        </m:r>
        <m:r>
          <m:t>i</m:t>
        </m:r>
        <m:r>
          <m:t>n</m:t>
        </m:r>
        <m:r>
          <m:t>t</m:t>
        </m:r>
        <m:r>
          <m:t>e</m:t>
        </m:r>
        <m:r>
          <m:t>r</m:t>
        </m:r>
        <m:r>
          <m:t>e</m:t>
        </m:r>
        <m:r>
          <m:t>s</m:t>
        </m:r>
        <m:r>
          <m:t>t</m:t>
        </m:r>
        <m:r>
          <m:t>i</m:t>
        </m:r>
        <m:r>
          <m:t>n</m:t>
        </m:r>
        <m:r>
          <m:t>c</m:t>
        </m:r>
        <m:r>
          <m:t>o</m:t>
        </m:r>
        <m:r>
          <m:t>m</m:t>
        </m:r>
        <m:r>
          <m:t>e</m:t>
        </m:r>
        <m:r>
          <m:rPr>
            <m:sty m:val="p"/>
          </m:rPr>
          <m:t>,</m:t>
        </m:r>
        <m:r>
          <m:t>a</m:t>
        </m:r>
        <m:r>
          <m:t>n</m:t>
        </m:r>
        <m:r>
          <m:t>d</m:t>
        </m:r>
        <m:r>
          <m:t>a</m:t>
        </m:r>
        <m:r>
          <m:t>l</m:t>
        </m:r>
        <m:r>
          <m:t>o</m:t>
        </m:r>
        <m:r>
          <m:t>w</m:t>
        </m:r>
        <m:r>
          <m:t>e</m:t>
        </m:r>
        <m:r>
          <m:t>r</m:t>
        </m:r>
        <m:r>
          <m:t>s</m:t>
        </m:r>
        <m:r>
          <m:t>h</m:t>
        </m:r>
        <m:r>
          <m:t>a</m:t>
        </m:r>
        <m:r>
          <m:t>r</m:t>
        </m:r>
        <m:r>
          <m:t>e</m:t>
        </m:r>
        <m:r>
          <m:t>c</m:t>
        </m:r>
        <m:r>
          <m:t>o</m:t>
        </m:r>
        <m:r>
          <m:t>u</m:t>
        </m:r>
        <m:r>
          <m:t>n</m:t>
        </m:r>
        <m:r>
          <m:t>t</m:t>
        </m:r>
        <m:r>
          <m:rPr>
            <m:sty m:val="p"/>
          </m:rPr>
          <m:t>.</m:t>
        </m:r>
        <m:r>
          <m:t>T</m:t>
        </m:r>
        <m:r>
          <m:t>h</m:t>
        </m:r>
        <m:r>
          <m:t>i</m:t>
        </m:r>
        <m:r>
          <m:t>s</m:t>
        </m:r>
        <m:r>
          <m:t>i</m:t>
        </m:r>
        <m:r>
          <m:t>m</m:t>
        </m:r>
        <m:r>
          <m:t>p</m:t>
        </m:r>
        <m:r>
          <m:t>l</m:t>
        </m:r>
        <m:r>
          <m:t>i</m:t>
        </m:r>
        <m:r>
          <m:t>e</m:t>
        </m:r>
        <m:r>
          <m:t>s</m:t>
        </m:r>
        <m:r>
          <m:t>u</m:t>
        </m:r>
        <m:r>
          <m:t>p</m:t>
        </m:r>
        <m:r>
          <m:t>d</m:t>
        </m:r>
        <m:r>
          <m:t>a</m:t>
        </m:r>
        <m:r>
          <m:t>t</m:t>
        </m:r>
        <m:r>
          <m:t>e</m:t>
        </m:r>
        <m:r>
          <m:t>d</m:t>
        </m:r>
        <m:r>
          <m:t>E</m:t>
        </m:r>
        <m:r>
          <m:t>P</m:t>
        </m:r>
        <m:r>
          <m:t>S</m:t>
        </m:r>
        <m:r>
          <m:t>g</m:t>
        </m:r>
        <m:r>
          <m:t>u</m:t>
        </m:r>
        <m:r>
          <m:t>i</m:t>
        </m:r>
        <m:r>
          <m:t>d</m:t>
        </m:r>
        <m:r>
          <m:t>a</m:t>
        </m:r>
        <m:r>
          <m:t>n</m:t>
        </m:r>
        <m:r>
          <m:t>c</m:t>
        </m:r>
        <m:r>
          <m:t>e</m:t>
        </m:r>
        <m:r>
          <m:t>o</m:t>
        </m:r>
        <m:r>
          <m:t>f</m:t>
        </m:r>
        <m:r>
          <m:rPr>
            <m:sty m:val="p"/>
          </m:rPr>
          <m:t>*</m:t>
        </m:r>
        <m:r>
          <m:rPr>
            <m:sty m:val="p"/>
          </m:rPr>
          <m:t>*</m:t>
        </m:r>
      </m:oMath>
      <w:r>
        <w:rPr>
          <w:b/>
          <w:bCs/>
        </w:rPr>
        <w:t xml:space="preserve">12.80–$13.05</w:t>
      </w:r>
      <w:r>
        <w:t xml:space="preserve">.</w:t>
      </w:r>
    </w:p>
    <w:p>
      <w:pPr>
        <w:pStyle w:val="BodyText"/>
      </w:pPr>
      <w:r>
        <w:t xml:space="preserve">Management also indicated that roughly</w:t>
      </w:r>
      <w:r>
        <w:t xml:space="preserve"> </w:t>
      </w:r>
      <w:r>
        <w:rPr>
          <w:b/>
          <w:bCs/>
        </w:rPr>
        <w:t xml:space="preserve">53% of full-year EPS</w:t>
      </w:r>
      <w:r>
        <w:t xml:space="preserve"> </w:t>
      </w:r>
      <w:r>
        <w:t xml:space="preserve">should occur in the second half. That framing means the market should not expect a major first-half earnings acceleration from seasonality alone; it also places greater importance on commentary regarding 2H cloud-conversion pace, transaction trends, and operating leverage.</w:t>
      </w:r>
    </w:p>
    <w:p>
      <w:pPr>
        <w:pStyle w:val="BodyText"/>
      </w:pPr>
      <w:r>
        <w:rPr>
          <w:b/>
          <w:bCs/>
        </w:rPr>
        <w:t xml:space="preserve">Bottom line on guidance:</w:t>
      </w:r>
      <w:r>
        <w:t xml:space="preserve"> </w:t>
      </w:r>
      <w:r>
        <w:t xml:space="preserve">maintaining the full-year outlook should be sufficient if operating KPIs are healthy. A raise would be positive, but the bar for one may be higher given that 1Q’s revenue-guide increase was primarily attributable to the For The Record acquisition and transaction outperformance.</w:t>
      </w:r>
    </w:p>
    <w:bookmarkEnd w:id="15"/>
    <w:bookmarkStart w:id="18" w:name="strategic-items-to-monitor"/>
    <w:p>
      <w:pPr>
        <w:pStyle w:val="Heading2"/>
      </w:pPr>
      <w:r>
        <w:t xml:space="preserve">Strategic items to monitor</w:t>
      </w:r>
    </w:p>
    <w:bookmarkStart w:id="16" w:name="for-the-record-integration"/>
    <w:p>
      <w:pPr>
        <w:pStyle w:val="Heading3"/>
      </w:pPr>
      <w:r>
        <w:t xml:space="preserve">For The Record integration</w:t>
      </w:r>
    </w:p>
    <w:p>
      <w:pPr>
        <w:pStyle w:val="FirstParagraph"/>
      </w:pPr>
      <w:r>
        <w:t xml:space="preserve">Tyler acquired legal-grade speech-to-text and courtroom transcription provider</w:t>
      </w:r>
      <w:r>
        <w:t xml:space="preserve"> </w:t>
      </w:r>
      <w:r>
        <w:rPr>
          <w:b/>
          <w:bCs/>
        </w:rPr>
        <w:t xml:space="preserve">For The Record</w:t>
      </w:r>
      <w:r>
        <w:t xml:space="preserve"> </w:t>
      </w:r>
      <w:r>
        <w:t xml:space="preserve">in April for approximately $223 million. The deal adds roughly $30 million of 2026 revenue, with approximately 70% of its revenue from software. Management sees a sizeable opportunity to pair FTR’s technology with Tyler’s court systems and build a broader “judicial intelligence” offering.</w:t>
      </w:r>
    </w:p>
    <w:p>
      <w:pPr>
        <w:pStyle w:val="BodyText"/>
      </w:pPr>
      <w:r>
        <w:t xml:space="preserve">Key questions:</w:t>
      </w:r>
    </w:p>
    <w:p>
      <w:pPr>
        <w:pStyle w:val="Compact"/>
        <w:numPr>
          <w:ilvl w:val="0"/>
          <w:numId w:val="1005"/>
        </w:numPr>
      </w:pPr>
      <w:r>
        <w:t xml:space="preserve">Is integration proceeding as expected?</w:t>
      </w:r>
    </w:p>
    <w:p>
      <w:pPr>
        <w:pStyle w:val="Compact"/>
        <w:numPr>
          <w:ilvl w:val="0"/>
          <w:numId w:val="1005"/>
        </w:numPr>
      </w:pPr>
      <w:r>
        <w:t xml:space="preserve">Is FTR’s SaaS transition on track?</w:t>
      </w:r>
    </w:p>
    <w:p>
      <w:pPr>
        <w:pStyle w:val="Compact"/>
        <w:numPr>
          <w:ilvl w:val="0"/>
          <w:numId w:val="1005"/>
        </w:numPr>
      </w:pPr>
      <w:r>
        <w:t xml:space="preserve">Are there early cross-sell wins into Tyler’s courts installed base?</w:t>
      </w:r>
    </w:p>
    <w:p>
      <w:pPr>
        <w:pStyle w:val="Compact"/>
        <w:numPr>
          <w:ilvl w:val="0"/>
          <w:numId w:val="1005"/>
        </w:numPr>
      </w:pPr>
      <w:r>
        <w:t xml:space="preserve">Has management’s view of revenue or margin contribution changed?</w:t>
      </w:r>
    </w:p>
    <w:bookmarkEnd w:id="16"/>
    <w:bookmarkStart w:id="17" w:name="ai-commercialization"/>
    <w:p>
      <w:pPr>
        <w:pStyle w:val="Heading3"/>
      </w:pPr>
      <w:r>
        <w:t xml:space="preserve">AI commercialization</w:t>
      </w:r>
    </w:p>
    <w:p>
      <w:pPr>
        <w:pStyle w:val="FirstParagraph"/>
      </w:pPr>
      <w:r>
        <w:t xml:space="preserve">Investor Day made the AI opportunity more prominent, but management was clear that this is a</w:t>
      </w:r>
      <w:r>
        <w:t xml:space="preserve"> </w:t>
      </w:r>
      <w:r>
        <w:rPr>
          <w:b/>
          <w:bCs/>
        </w:rPr>
        <w:t xml:space="preserve">multi-year</w:t>
      </w:r>
      <w:r>
        <w:t xml:space="preserve"> </w:t>
      </w:r>
      <w:r>
        <w:t xml:space="preserve">adoption curve, not a 2026 earnings driver. Tyler expects 25 AI agents in production across all flagship products by year-end, with monetization ranging from bundled SaaS uplift to outcome-based pricing.</w:t>
      </w:r>
    </w:p>
    <w:p>
      <w:pPr>
        <w:pStyle w:val="BodyText"/>
      </w:pPr>
      <w:r>
        <w:t xml:space="preserve">For this quarter, constructive signals would be:</w:t>
      </w:r>
    </w:p>
    <w:p>
      <w:pPr>
        <w:pStyle w:val="Compact"/>
        <w:numPr>
          <w:ilvl w:val="0"/>
          <w:numId w:val="1006"/>
        </w:numPr>
      </w:pPr>
      <w:r>
        <w:t xml:space="preserve">New paid AI deployments;</w:t>
      </w:r>
    </w:p>
    <w:p>
      <w:pPr>
        <w:pStyle w:val="Compact"/>
        <w:numPr>
          <w:ilvl w:val="0"/>
          <w:numId w:val="1006"/>
        </w:numPr>
      </w:pPr>
      <w:r>
        <w:t xml:space="preserve">More examples of measurable customer ROI;</w:t>
      </w:r>
    </w:p>
    <w:p>
      <w:pPr>
        <w:pStyle w:val="Compact"/>
        <w:numPr>
          <w:ilvl w:val="0"/>
          <w:numId w:val="1006"/>
        </w:numPr>
      </w:pPr>
      <w:r>
        <w:t xml:space="preserve">Confirmation that AI features are helping cloud adoption, win rates, or cross-sell;</w:t>
      </w:r>
    </w:p>
    <w:p>
      <w:pPr>
        <w:pStyle w:val="Compact"/>
        <w:numPr>
          <w:ilvl w:val="0"/>
          <w:numId w:val="1006"/>
        </w:numPr>
      </w:pPr>
      <w:r>
        <w:t xml:space="preserve">Internal productivity evidence in support, implementations, and R&amp;D.</w:t>
      </w:r>
    </w:p>
    <w:p>
      <w:pPr>
        <w:pStyle w:val="FirstParagraph"/>
      </w:pPr>
      <w:r>
        <w:t xml:space="preserve">The risk is that investors extrapolate early AI examples too aggressively. Tyler’s own long-term growth targets explicitly exclude incremental AI revenue, so upside exists—but near-term revenue impact should remain modest.</w:t>
      </w:r>
    </w:p>
    <w:bookmarkEnd w:id="17"/>
    <w:bookmarkEnd w:id="18"/>
    <w:bookmarkStart w:id="19" w:name="Xc681812310f0d52e1358547313866103ca2a951"/>
    <w:p>
      <w:pPr>
        <w:pStyle w:val="Heading2"/>
      </w:pPr>
      <w:r>
        <w:t xml:space="preserve">Capital allocation and balance-sheet context</w:t>
      </w:r>
    </w:p>
    <w:p>
      <w:pPr>
        <w:pStyle w:val="FirstParagraph"/>
      </w:pPr>
      <w:r>
        <w:t xml:space="preserve">Tyler’s May financing materially changed its capital-allocation flexibility. The company issued</w:t>
      </w:r>
      <w:r>
        <w:t xml:space="preserve"> </w:t>
      </w:r>
      <w:r>
        <w:rPr>
          <w:b/>
          <w:bCs/>
        </w:rPr>
        <w:t xml:space="preserve">$1.44 billion of 0.50% convertible senior notes due 2031</w:t>
      </w:r>
      <w:r>
        <w:t xml:space="preserve"> </w:t>
      </w:r>
      <w:r>
        <w:t xml:space="preserve">and used approximately $320.7 million of proceeds to repurchase 1.03 million shares. The capped call limits potential dilution up to roughly $655.77 per share.</w:t>
      </w:r>
    </w:p>
    <w:p>
      <w:pPr>
        <w:pStyle w:val="BodyText"/>
      </w:pPr>
      <w:r>
        <w:t xml:space="preserve">This gives Tyler additional capacity for:</w:t>
      </w:r>
    </w:p>
    <w:p>
      <w:pPr>
        <w:pStyle w:val="Compact"/>
        <w:numPr>
          <w:ilvl w:val="0"/>
          <w:numId w:val="1007"/>
        </w:numPr>
      </w:pPr>
      <w:r>
        <w:t xml:space="preserve">Organic R&amp;D and AI investment;</w:t>
      </w:r>
    </w:p>
    <w:p>
      <w:pPr>
        <w:pStyle w:val="Compact"/>
        <w:numPr>
          <w:ilvl w:val="0"/>
          <w:numId w:val="1007"/>
        </w:numPr>
      </w:pPr>
      <w:r>
        <w:t xml:space="preserve">Strategic M&amp;A;</w:t>
      </w:r>
    </w:p>
    <w:p>
      <w:pPr>
        <w:pStyle w:val="Compact"/>
        <w:numPr>
          <w:ilvl w:val="0"/>
          <w:numId w:val="1007"/>
        </w:numPr>
      </w:pPr>
      <w:r>
        <w:t xml:space="preserve">Continued opportunistic share repurchases.</w:t>
      </w:r>
    </w:p>
    <w:p>
      <w:pPr>
        <w:pStyle w:val="FirstParagraph"/>
      </w:pPr>
      <w:r>
        <w:t xml:space="preserve">The financing is strategically positive if the company maintains discipline, but investors should watch for clarity on acquisition appetite and the remaining buyback authorization.</w:t>
      </w:r>
    </w:p>
    <w:bookmarkEnd w:id="19"/>
    <w:bookmarkStart w:id="23" w:name="Xc6401a168d8af49e29550db49534aff279e11e3"/>
    <w:p>
      <w:pPr>
        <w:pStyle w:val="Heading2"/>
      </w:pPr>
      <w:r>
        <w:t xml:space="preserve">Earnings dashboard: what would constitute a good report?</w:t>
      </w:r>
    </w:p>
    <w:bookmarkStart w:id="20" w:name="bullish-read-through"/>
    <w:p>
      <w:pPr>
        <w:pStyle w:val="Heading3"/>
      </w:pPr>
      <w:r>
        <w:t xml:space="preserve">Bullish read-through</w:t>
      </w:r>
    </w:p>
    <w:p>
      <w:pPr>
        <w:pStyle w:val="Compact"/>
        <w:numPr>
          <w:ilvl w:val="0"/>
          <w:numId w:val="1008"/>
        </w:numPr>
      </w:pPr>
      <w:r>
        <w:t xml:space="preserve">SaaS growth remains around the low-20% range;</w:t>
      </w:r>
    </w:p>
    <w:p>
      <w:pPr>
        <w:pStyle w:val="Compact"/>
        <w:numPr>
          <w:ilvl w:val="0"/>
          <w:numId w:val="1008"/>
        </w:numPr>
      </w:pPr>
      <w:r>
        <w:t xml:space="preserve">ARR and recurring revenue sustain double-digit growth;</w:t>
      </w:r>
    </w:p>
    <w:p>
      <w:pPr>
        <w:pStyle w:val="Compact"/>
        <w:numPr>
          <w:ilvl w:val="0"/>
          <w:numId w:val="1008"/>
        </w:numPr>
      </w:pPr>
      <w:r>
        <w:t xml:space="preserve">Strong bookings/RFP commentary, with no sign of public-sector budget pressure;</w:t>
      </w:r>
    </w:p>
    <w:p>
      <w:pPr>
        <w:pStyle w:val="Compact"/>
        <w:numPr>
          <w:ilvl w:val="0"/>
          <w:numId w:val="1008"/>
        </w:numPr>
      </w:pPr>
      <w:r>
        <w:t xml:space="preserve">Healthy cloud flips and cross-sell momentum;</w:t>
      </w:r>
    </w:p>
    <w:p>
      <w:pPr>
        <w:pStyle w:val="Compact"/>
        <w:numPr>
          <w:ilvl w:val="0"/>
          <w:numId w:val="1008"/>
        </w:numPr>
      </w:pPr>
      <w:r>
        <w:t xml:space="preserve">Transaction growth improves or management raises confidence in transaction-funded software;</w:t>
      </w:r>
    </w:p>
    <w:p>
      <w:pPr>
        <w:pStyle w:val="Compact"/>
        <w:numPr>
          <w:ilvl w:val="0"/>
          <w:numId w:val="1008"/>
        </w:numPr>
      </w:pPr>
      <w:r>
        <w:t xml:space="preserve">Operating-margin expansion and solid cash conversion;</w:t>
      </w:r>
    </w:p>
    <w:p>
      <w:pPr>
        <w:pStyle w:val="Compact"/>
        <w:numPr>
          <w:ilvl w:val="0"/>
          <w:numId w:val="1008"/>
        </w:numPr>
      </w:pPr>
      <w:r>
        <w:t xml:space="preserve">FY26 guidance maintained or raised.</w:t>
      </w:r>
    </w:p>
    <w:bookmarkEnd w:id="20"/>
    <w:bookmarkStart w:id="21" w:name="neutral--mixed-read-through"/>
    <w:p>
      <w:pPr>
        <w:pStyle w:val="Heading3"/>
      </w:pPr>
      <w:r>
        <w:t xml:space="preserve">Neutral / mixed read-through</w:t>
      </w:r>
    </w:p>
    <w:p>
      <w:pPr>
        <w:pStyle w:val="Compact"/>
        <w:numPr>
          <w:ilvl w:val="0"/>
          <w:numId w:val="1009"/>
        </w:numPr>
      </w:pPr>
      <w:r>
        <w:t xml:space="preserve">Revenue and EPS meet expectations, but SaaS growth moderates;</w:t>
      </w:r>
    </w:p>
    <w:p>
      <w:pPr>
        <w:pStyle w:val="Compact"/>
        <w:numPr>
          <w:ilvl w:val="0"/>
          <w:numId w:val="1009"/>
        </w:numPr>
      </w:pPr>
      <w:r>
        <w:t xml:space="preserve">Cloud conversion remains on track but timing shifts toward 2H;</w:t>
      </w:r>
    </w:p>
    <w:p>
      <w:pPr>
        <w:pStyle w:val="Compact"/>
        <w:numPr>
          <w:ilvl w:val="0"/>
          <w:numId w:val="1009"/>
        </w:numPr>
      </w:pPr>
      <w:r>
        <w:t xml:space="preserve">Free cash flow is softer after an unusually strong 1Q;</w:t>
      </w:r>
    </w:p>
    <w:p>
      <w:pPr>
        <w:pStyle w:val="Compact"/>
        <w:numPr>
          <w:ilvl w:val="0"/>
          <w:numId w:val="1009"/>
        </w:numPr>
      </w:pPr>
      <w:r>
        <w:t xml:space="preserve">Guidance is maintained without a more constructive tone on bookings or margins.</w:t>
      </w:r>
    </w:p>
    <w:bookmarkEnd w:id="21"/>
    <w:bookmarkStart w:id="22" w:name="bearish-read-through"/>
    <w:p>
      <w:pPr>
        <w:pStyle w:val="Heading3"/>
      </w:pPr>
      <w:r>
        <w:t xml:space="preserve">Bearish read-through</w:t>
      </w:r>
    </w:p>
    <w:p>
      <w:pPr>
        <w:pStyle w:val="Compact"/>
        <w:numPr>
          <w:ilvl w:val="0"/>
          <w:numId w:val="1010"/>
        </w:numPr>
      </w:pPr>
      <w:r>
        <w:t xml:space="preserve">Material deceleration in SaaS or ARR;</w:t>
      </w:r>
    </w:p>
    <w:p>
      <w:pPr>
        <w:pStyle w:val="Compact"/>
        <w:numPr>
          <w:ilvl w:val="0"/>
          <w:numId w:val="1010"/>
        </w:numPr>
      </w:pPr>
      <w:r>
        <w:t xml:space="preserve">Weak bookings or more cautious public-sector demand commentary;</w:t>
      </w:r>
    </w:p>
    <w:p>
      <w:pPr>
        <w:pStyle w:val="Compact"/>
        <w:numPr>
          <w:ilvl w:val="0"/>
          <w:numId w:val="1010"/>
        </w:numPr>
      </w:pPr>
      <w:r>
        <w:t xml:space="preserve">Delayed cloud flips due to customer budgets, complexity, or implementation constraints;</w:t>
      </w:r>
    </w:p>
    <w:p>
      <w:pPr>
        <w:pStyle w:val="Compact"/>
        <w:numPr>
          <w:ilvl w:val="0"/>
          <w:numId w:val="1010"/>
        </w:numPr>
      </w:pPr>
      <w:r>
        <w:t xml:space="preserve">Transactions underperforming expectations;</w:t>
      </w:r>
    </w:p>
    <w:p>
      <w:pPr>
        <w:pStyle w:val="Compact"/>
        <w:numPr>
          <w:ilvl w:val="0"/>
          <w:numId w:val="1010"/>
        </w:numPr>
      </w:pPr>
      <w:r>
        <w:t xml:space="preserve">Margin pressure from R&amp;D, acquisition integration, or implementation costs;</w:t>
      </w:r>
    </w:p>
    <w:p>
      <w:pPr>
        <w:pStyle w:val="Compact"/>
        <w:numPr>
          <w:ilvl w:val="0"/>
          <w:numId w:val="1010"/>
        </w:numPr>
      </w:pPr>
      <w:r>
        <w:t xml:space="preserve">Any reduction to full-year revenue, EPS, or FCF-margin guidance.</w:t>
      </w:r>
    </w:p>
    <w:bookmarkEnd w:id="22"/>
    <w:bookmarkEnd w:id="23"/>
    <w:bookmarkStart w:id="24" w:name="bottom-line"/>
    <w:p>
      <w:pPr>
        <w:pStyle w:val="Heading2"/>
      </w:pPr>
      <w:r>
        <w:t xml:space="preserve">Bottom line</w:t>
      </w:r>
    </w:p>
    <w:p>
      <w:pPr>
        <w:pStyle w:val="FirstParagraph"/>
      </w:pPr>
      <w:r>
        <w:t xml:space="preserve">TYL’s 2Q report is primarily a</w:t>
      </w:r>
      <w:r>
        <w:t xml:space="preserve"> </w:t>
      </w:r>
      <w:r>
        <w:rPr>
          <w:b/>
          <w:bCs/>
        </w:rPr>
        <w:t xml:space="preserve">validation quarter</w:t>
      </w:r>
      <w:r>
        <w:t xml:space="preserve"> </w:t>
      </w:r>
      <w:r>
        <w:t xml:space="preserve">for a strong strategic narrative. The company has already laid out an attractive long-term framework—10%–12% recurring-revenue growth, roughly 20% SaaS growth, substantial cloud-conversion opportunity, higher-value transaction mix, expanding margins, and AI optionality. The key near-term test is whether 2Q results show that these pillars are progressing simultaneously rather than merely remaining long-term ambitions.</w:t>
      </w:r>
    </w:p>
    <w:p>
      <w:pPr>
        <w:pStyle w:val="BodyText"/>
      </w:pPr>
      <w:r>
        <w:t xml:space="preserve">The most important metrics are</w:t>
      </w:r>
      <w:r>
        <w:t xml:space="preserve"> </w:t>
      </w:r>
      <w:r>
        <w:rPr>
          <w:b/>
          <w:bCs/>
        </w:rPr>
        <w:t xml:space="preserve">SaaS growth, ARR, bookings, cloud-flip commentary, transaction trends, and margin/FCF conversion</w:t>
      </w:r>
      <w:r>
        <w:t xml:space="preserve">. If those remain constructive and full-year guidance is reaffirmed, the report should support confidence that Tyler’s 2030 targets are increasingly credible.</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2026-07-29T02:11:25Z</dcterms:created>
  <dcterms:modified xsi:type="dcterms:W3CDTF">2026-07-29T02:11:25Z</dcterms:modified>
</cp:coreProperties>
</file>

<file path=docProps/custom.xml><?xml version="1.0" encoding="utf-8"?>
<Properties xmlns="http://schemas.openxmlformats.org/officeDocument/2006/custom-properties" xmlns:vt="http://schemas.openxmlformats.org/officeDocument/2006/docPropsVTypes"/>
</file>