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Tyler Technologies (TYL)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Tyler Technologies, Inc.</w:t>
            </w:r>
          </w:p>
        </w:tc>
      </w:tr>
      <w:tr>
        <w:tc>
          <w:tcPr>
            <w:tcW w:type="dxa" w:w="4320"/>
          </w:tcPr>
          <w:p>
            <w:r>
              <w:rPr>
                <w:rFonts w:ascii="Calibri" w:hAnsi="Calibri"/>
                <w:b/>
                <w:sz w:val="22"/>
              </w:rPr>
              <w:t>Ticker</w:t>
            </w:r>
          </w:p>
        </w:tc>
        <w:tc>
          <w:tcPr>
            <w:tcW w:type="dxa" w:w="4320"/>
          </w:tcPr>
          <w:p>
            <w:r>
              <w:rPr>
                <w:rFonts w:ascii="Calibri" w:hAnsi="Calibri"/>
                <w:sz w:val="22"/>
              </w:rPr>
              <w:t>TYL (NYSE)</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Upcoming Earnings Date</w:t>
            </w:r>
          </w:p>
        </w:tc>
        <w:tc>
          <w:tcPr>
            <w:tcW w:type="dxa" w:w="4320"/>
          </w:tcPr>
          <w:p>
            <w:r>
              <w:rPr>
                <w:rFonts w:ascii="Calibri" w:hAnsi="Calibri"/>
                <w:sz w:val="22"/>
              </w:rPr>
              <w:t>~July 30, 2026</w:t>
            </w:r>
          </w:p>
        </w:tc>
      </w:tr>
      <w:tr>
        <w:tc>
          <w:tcPr>
            <w:tcW w:type="dxa" w:w="4320"/>
          </w:tcPr>
          <w:p>
            <w:r>
              <w:rPr>
                <w:rFonts w:ascii="Calibri" w:hAnsi="Calibri"/>
                <w:b/>
                <w:sz w:val="22"/>
              </w:rPr>
              <w:t>Last Earnings Date</w:t>
            </w:r>
          </w:p>
        </w:tc>
        <w:tc>
          <w:tcPr>
            <w:tcW w:type="dxa" w:w="4320"/>
          </w:tcPr>
          <w:p>
            <w:r>
              <w:rPr>
                <w:rFonts w:ascii="Calibri" w:hAnsi="Calibri"/>
                <w:sz w:val="22"/>
              </w:rPr>
              <w:t>April 29, 2026 (Q1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Used</w:t>
            </w:r>
          </w:p>
        </w:tc>
        <w:tc>
          <w:tcPr>
            <w:tcW w:type="dxa" w:w="4320"/>
          </w:tcPr>
          <w:p>
            <w:r>
              <w:rPr>
                <w:rFonts w:ascii="Calibri" w:hAnsi="Calibri"/>
                <w:sz w:val="22"/>
              </w:rPr>
              <w:t>IGV (iShares Expanded Tech-Software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is not a high bar on revenue or EPS, the company raised full-year guidance at both Q1 earnings and Investor Day, and the biggest swing factor is whether </w:t>
      </w:r>
      <w:r>
        <w:rPr>
          <w:rFonts w:ascii="Calibri" w:hAnsi="Calibri"/>
          <w:b/>
          <w:color w:val="525866"/>
          <w:sz w:val="22"/>
        </w:rPr>
        <w:t>SaaS bookings and transaction revenue</w:t>
      </w:r>
      <w:r>
        <w:rPr>
          <w:rFonts w:ascii="Calibri" w:hAnsi="Calibri"/>
          <w:color w:val="525866"/>
          <w:sz w:val="22"/>
        </w:rPr>
        <w:t xml:space="preserve"> can sustain the broad-based volume momentum seen in Q1 without a large-deal tailwind.</w:t>
      </w:r>
    </w:p>
    <w:p>
      <w:r>
        <w:rPr>
          <w:rFonts w:ascii="Calibri" w:hAnsi="Calibri"/>
          <w:color w:val="525866"/>
          <w:sz w:val="22"/>
        </w:rPr>
        <w:t xml:space="preserve">Heading into Q2 2026, Tyler Technologies carries a favorable setup: the bar is achievable, guidance has been raised twice since the last print, and management's tone has shifted from cautiously optimistic to assertively confident. Consensus expects total revenue of ~$647.9M (+8.7% YoY) and operating EPS of ~$3.05, both of which represent modest step-ups from Q1 actuals and sit below the trajectory implied by the raised full-year guide. The estimate revision picture is constructive — EPS estimates for Q2 have moved up since the Q1 print (from $3.04 to $3.05 on the quarter, and FY 2026 EPS from $12.65 to $12.92), tracking the accretive impact of the May 2026 convertible note offering and share repurchases. The stock, however, has been a notable underperformer since Q1 earnings, down ~6% vs. IGV +9% and SPY +4%, reflecting multiple compression as investors weigh the near-term dilution from the convertible offering against the long-term 2030 target upgrade. The key wildcard is </w:t>
      </w:r>
      <w:r>
        <w:rPr>
          <w:rFonts w:ascii="Calibri" w:hAnsi="Calibri"/>
          <w:b/>
          <w:color w:val="525866"/>
          <w:sz w:val="22"/>
        </w:rPr>
        <w:t>transaction revenue</w:t>
      </w:r>
      <w:r>
        <w:rPr>
          <w:rFonts w:ascii="Calibri" w:hAnsi="Calibri"/>
          <w:color w:val="525866"/>
          <w:sz w:val="22"/>
        </w:rPr>
        <w:t xml:space="preserve"> — it outperformed meaningfully in Q1 and management guided modestly higher for the year; a second consecutive beat here, combined with any signal on the statewide motor vehicle titling ramp, could be the catalyst to close the valuation gap.</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both revenue and EPS — the bigger swing factor is </w:t>
      </w:r>
      <w:r>
        <w:rPr>
          <w:rFonts w:ascii="Calibri" w:hAnsi="Calibri"/>
          <w:b/>
          <w:color w:val="525866"/>
          <w:sz w:val="22"/>
        </w:rPr>
        <w:t>transaction revenue</w:t>
      </w:r>
      <w:r>
        <w:rPr>
          <w:rFonts w:ascii="Calibri" w:hAnsi="Calibri"/>
          <w:color w:val="525866"/>
          <w:sz w:val="22"/>
        </w:rPr>
        <w:t>, which beat by ~9% in Q1 and where management has guided modestly higher for the full year; a second consecutive beat here would be the most meaningful upside signal.</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Total Revenue ($M)</w:t>
            </w:r>
          </w:p>
        </w:tc>
        <w:tc>
          <w:tcPr>
            <w:tcW w:type="dxa" w:w="1234"/>
          </w:tcPr>
          <w:p>
            <w:r>
              <w:rPr>
                <w:rFonts w:ascii="Calibri" w:hAnsi="Calibri"/>
                <w:sz w:val="22"/>
              </w:rPr>
              <w:t>$613.5M</w:t>
            </w:r>
          </w:p>
        </w:tc>
        <w:tc>
          <w:tcPr>
            <w:tcW w:type="dxa" w:w="1234"/>
          </w:tcPr>
          <w:p>
            <w:r>
              <w:rPr>
                <w:rFonts w:ascii="Calibri" w:hAnsi="Calibri"/>
                <w:sz w:val="22"/>
              </w:rPr>
              <w:t>$596.1M</w:t>
            </w:r>
          </w:p>
        </w:tc>
        <w:tc>
          <w:tcPr>
            <w:tcW w:type="dxa" w:w="1234"/>
          </w:tcPr>
          <w:p>
            <w:r>
              <w:rPr>
                <w:rFonts w:ascii="Calibri" w:hAnsi="Calibri"/>
                <w:sz w:val="22"/>
              </w:rPr>
              <w:t>$647.9M</w:t>
            </w:r>
          </w:p>
        </w:tc>
        <w:tc>
          <w:tcPr>
            <w:tcW w:type="dxa" w:w="1234"/>
          </w:tcPr>
          <w:p>
            <w:r>
              <w:rPr>
                <w:rFonts w:ascii="Calibri" w:hAnsi="Calibri"/>
                <w:sz w:val="22"/>
              </w:rPr>
              <w:t>+8.7%</w:t>
            </w:r>
          </w:p>
        </w:tc>
        <w:tc>
          <w:tcPr>
            <w:tcW w:type="dxa" w:w="1234"/>
          </w:tcPr>
          <w:p>
            <w:r>
              <w:rPr>
                <w:rFonts w:ascii="Calibri" w:hAnsi="Calibri"/>
                <w:sz w:val="22"/>
              </w:rPr>
              <w:t>~$2,558M (FY)</w:t>
            </w:r>
          </w:p>
        </w:tc>
        <w:tc>
          <w:tcPr>
            <w:tcW w:type="dxa" w:w="1234"/>
          </w:tcPr>
          <w:p>
            <w:r>
              <w:rPr>
                <w:rFonts w:ascii="Calibri" w:hAnsi="Calibri"/>
                <w:sz w:val="22"/>
              </w:rPr>
              <w:t>~+1.3% vs. implied run-rate</w:t>
            </w:r>
          </w:p>
        </w:tc>
      </w:tr>
      <w:tr>
        <w:tc>
          <w:tcPr>
            <w:tcW w:type="dxa" w:w="1234"/>
          </w:tcPr>
          <w:p>
            <w:r>
              <w:rPr>
                <w:rFonts w:ascii="Calibri" w:hAnsi="Calibri"/>
                <w:sz w:val="22"/>
              </w:rPr>
              <w:t>SaaS Revenue ($M)</w:t>
            </w:r>
          </w:p>
        </w:tc>
        <w:tc>
          <w:tcPr>
            <w:tcW w:type="dxa" w:w="1234"/>
          </w:tcPr>
          <w:p>
            <w:r>
              <w:rPr>
                <w:rFonts w:ascii="Calibri" w:hAnsi="Calibri"/>
                <w:sz w:val="22"/>
              </w:rPr>
              <w:t>$222.4M</w:t>
            </w:r>
          </w:p>
        </w:tc>
        <w:tc>
          <w:tcPr>
            <w:tcW w:type="dxa" w:w="1234"/>
          </w:tcPr>
          <w:p>
            <w:r>
              <w:rPr>
                <w:rFonts w:ascii="Calibri" w:hAnsi="Calibri"/>
                <w:sz w:val="22"/>
              </w:rPr>
              <w:t>$189.6M</w:t>
            </w:r>
          </w:p>
        </w:tc>
        <w:tc>
          <w:tcPr>
            <w:tcW w:type="dxa" w:w="1234"/>
          </w:tcPr>
          <w:p>
            <w:r>
              <w:rPr>
                <w:rFonts w:ascii="Calibri" w:hAnsi="Calibri"/>
                <w:sz w:val="22"/>
              </w:rPr>
              <w:t>$232.8M</w:t>
            </w:r>
          </w:p>
        </w:tc>
        <w:tc>
          <w:tcPr>
            <w:tcW w:type="dxa" w:w="1234"/>
          </w:tcPr>
          <w:p>
            <w:r>
              <w:rPr>
                <w:rFonts w:ascii="Calibri" w:hAnsi="Calibri"/>
                <w:sz w:val="22"/>
              </w:rPr>
              <w:t>+22.8%</w:t>
            </w:r>
          </w:p>
        </w:tc>
        <w:tc>
          <w:tcPr>
            <w:tcW w:type="dxa" w:w="1234"/>
          </w:tcPr>
          <w:p>
            <w:r>
              <w:rPr>
                <w:rFonts w:ascii="Calibri" w:hAnsi="Calibri"/>
                <w:sz w:val="22"/>
              </w:rPr>
              <w:t>~$955M (FY); ~20% growth</w:t>
            </w:r>
          </w:p>
        </w:tc>
        <w:tc>
          <w:tcPr>
            <w:tcW w:type="dxa" w:w="1234"/>
          </w:tcPr>
          <w:p>
            <w:r>
              <w:rPr>
                <w:rFonts w:ascii="Calibri" w:hAnsi="Calibri"/>
                <w:sz w:val="22"/>
              </w:rPr>
              <w:t>In line with FY guide</w:t>
            </w:r>
          </w:p>
        </w:tc>
      </w:tr>
      <w:tr>
        <w:tc>
          <w:tcPr>
            <w:tcW w:type="dxa" w:w="1234"/>
          </w:tcPr>
          <w:p>
            <w:r>
              <w:rPr>
                <w:rFonts w:ascii="Calibri" w:hAnsi="Calibri"/>
                <w:sz w:val="22"/>
              </w:rPr>
              <w:t>Transaction Revenue ($M)</w:t>
            </w:r>
          </w:p>
        </w:tc>
        <w:tc>
          <w:tcPr>
            <w:tcW w:type="dxa" w:w="1234"/>
          </w:tcPr>
          <w:p>
            <w:r>
              <w:rPr>
                <w:rFonts w:ascii="Calibri" w:hAnsi="Calibri"/>
                <w:sz w:val="22"/>
              </w:rPr>
              <w:t>$207.4M</w:t>
            </w:r>
          </w:p>
        </w:tc>
        <w:tc>
          <w:tcPr>
            <w:tcW w:type="dxa" w:w="1234"/>
          </w:tcPr>
          <w:p>
            <w:r>
              <w:rPr>
                <w:rFonts w:ascii="Calibri" w:hAnsi="Calibri"/>
                <w:sz w:val="22"/>
              </w:rPr>
              <w:t>$215.5M</w:t>
            </w:r>
          </w:p>
        </w:tc>
        <w:tc>
          <w:tcPr>
            <w:tcW w:type="dxa" w:w="1234"/>
          </w:tcPr>
          <w:p>
            <w:r>
              <w:rPr>
                <w:rFonts w:ascii="Calibri" w:hAnsi="Calibri"/>
                <w:sz w:val="22"/>
              </w:rPr>
              <w:t>$228.5M</w:t>
            </w:r>
          </w:p>
        </w:tc>
        <w:tc>
          <w:tcPr>
            <w:tcW w:type="dxa" w:w="1234"/>
          </w:tcPr>
          <w:p>
            <w:r>
              <w:rPr>
                <w:rFonts w:ascii="Calibri" w:hAnsi="Calibri"/>
                <w:sz w:val="22"/>
              </w:rPr>
              <w:t>+6.0%</w:t>
            </w:r>
          </w:p>
        </w:tc>
        <w:tc>
          <w:tcPr>
            <w:tcW w:type="dxa" w:w="1234"/>
          </w:tcPr>
          <w:p>
            <w:r>
              <w:rPr>
                <w:rFonts w:ascii="Calibri" w:hAnsi="Calibri"/>
                <w:sz w:val="22"/>
              </w:rPr>
              <w:t>~$867M (FY); low-double-digit growth</w:t>
            </w:r>
          </w:p>
        </w:tc>
        <w:tc>
          <w:tcPr>
            <w:tcW w:type="dxa" w:w="1234"/>
          </w:tcPr>
          <w:p>
            <w:r>
              <w:rPr>
                <w:rFonts w:ascii="Calibri" w:hAnsi="Calibri"/>
                <w:sz w:val="22"/>
              </w:rPr>
              <w:t>In line with FY guide</w:t>
            </w:r>
          </w:p>
        </w:tc>
      </w:tr>
      <w:tr>
        <w:tc>
          <w:tcPr>
            <w:tcW w:type="dxa" w:w="1234"/>
          </w:tcPr>
          <w:p>
            <w:r>
              <w:rPr>
                <w:rFonts w:ascii="Calibri" w:hAnsi="Calibri"/>
                <w:sz w:val="22"/>
              </w:rPr>
              <w:t>Total Recurring Revenue ($M)</w:t>
            </w:r>
          </w:p>
        </w:tc>
        <w:tc>
          <w:tcPr>
            <w:tcW w:type="dxa" w:w="1234"/>
          </w:tcPr>
          <w:p>
            <w:r>
              <w:rPr>
                <w:rFonts w:ascii="Calibri" w:hAnsi="Calibri"/>
                <w:sz w:val="22"/>
              </w:rPr>
              <w:t>$538.6M</w:t>
            </w:r>
          </w:p>
        </w:tc>
        <w:tc>
          <w:tcPr>
            <w:tcW w:type="dxa" w:w="1234"/>
          </w:tcPr>
          <w:p>
            <w:r>
              <w:rPr>
                <w:rFonts w:ascii="Calibri" w:hAnsi="Calibri"/>
                <w:sz w:val="22"/>
              </w:rPr>
              <w:t>$517.2M</w:t>
            </w:r>
          </w:p>
        </w:tc>
        <w:tc>
          <w:tcPr>
            <w:tcW w:type="dxa" w:w="1234"/>
          </w:tcPr>
          <w:p>
            <w:r>
              <w:rPr>
                <w:rFonts w:ascii="Calibri" w:hAnsi="Calibri"/>
                <w:sz w:val="22"/>
              </w:rPr>
              <w:t>$567.9M</w:t>
            </w:r>
          </w:p>
        </w:tc>
        <w:tc>
          <w:tcPr>
            <w:tcW w:type="dxa" w:w="1234"/>
          </w:tcPr>
          <w:p>
            <w:r>
              <w:rPr>
                <w:rFonts w:ascii="Calibri" w:hAnsi="Calibri"/>
                <w:sz w:val="22"/>
              </w:rPr>
              <w:t>+9.8%</w:t>
            </w:r>
          </w:p>
        </w:tc>
        <w:tc>
          <w:tcPr>
            <w:tcW w:type="dxa" w:w="1234"/>
          </w:tcPr>
          <w:p>
            <w:r>
              <w:rPr>
                <w:rFonts w:ascii="Calibri" w:hAnsi="Calibri"/>
                <w:sz w:val="22"/>
              </w:rPr>
              <w:t>~$2,250M (FY)</w:t>
            </w:r>
          </w:p>
        </w:tc>
        <w:tc>
          <w:tcPr>
            <w:tcW w:type="dxa" w:w="1234"/>
          </w:tcPr>
          <w:p>
            <w:r>
              <w:rPr>
                <w:rFonts w:ascii="Calibri" w:hAnsi="Calibri"/>
                <w:sz w:val="22"/>
              </w:rPr>
              <w:t>In line with FY guide</w:t>
            </w:r>
          </w:p>
        </w:tc>
      </w:tr>
      <w:tr>
        <w:tc>
          <w:tcPr>
            <w:tcW w:type="dxa" w:w="1234"/>
          </w:tcPr>
          <w:p>
            <w:r>
              <w:rPr>
                <w:rFonts w:ascii="Calibri" w:hAnsi="Calibri"/>
                <w:sz w:val="22"/>
              </w:rPr>
              <w:t>Total ARR ($B)</w:t>
            </w:r>
          </w:p>
        </w:tc>
        <w:tc>
          <w:tcPr>
            <w:tcW w:type="dxa" w:w="1234"/>
          </w:tcPr>
          <w:p>
            <w:r>
              <w:rPr>
                <w:rFonts w:ascii="Calibri" w:hAnsi="Calibri"/>
                <w:sz w:val="22"/>
              </w:rPr>
              <w:t>$2.154B</w:t>
            </w:r>
          </w:p>
        </w:tc>
        <w:tc>
          <w:tcPr>
            <w:tcW w:type="dxa" w:w="1234"/>
          </w:tcPr>
          <w:p>
            <w:r>
              <w:rPr>
                <w:rFonts w:ascii="Calibri" w:hAnsi="Calibri"/>
                <w:sz w:val="22"/>
              </w:rPr>
              <w:t>$2.069B</w:t>
            </w:r>
          </w:p>
        </w:tc>
        <w:tc>
          <w:tcPr>
            <w:tcW w:type="dxa" w:w="1234"/>
          </w:tcPr>
          <w:p>
            <w:r>
              <w:rPr>
                <w:rFonts w:ascii="Calibri" w:hAnsi="Calibri"/>
                <w:sz w:val="22"/>
              </w:rPr>
              <w:t>$2.271B</w:t>
            </w:r>
          </w:p>
        </w:tc>
        <w:tc>
          <w:tcPr>
            <w:tcW w:type="dxa" w:w="1234"/>
          </w:tcPr>
          <w:p>
            <w:r>
              <w:rPr>
                <w:rFonts w:ascii="Calibri" w:hAnsi="Calibri"/>
                <w:sz w:val="22"/>
              </w:rPr>
              <w:t>+9.8%</w:t>
            </w:r>
          </w:p>
        </w:tc>
        <w:tc>
          <w:tcPr>
            <w:tcW w:type="dxa" w:w="1234"/>
          </w:tcPr>
          <w:p>
            <w:r>
              <w:rPr>
                <w:rFonts w:ascii="Calibri" w:hAnsi="Calibri"/>
                <w:sz w:val="22"/>
              </w:rPr>
              <w:t>~$2.297B (FY)</w:t>
            </w:r>
          </w:p>
        </w:tc>
        <w:tc>
          <w:tcPr>
            <w:tcW w:type="dxa" w:w="1234"/>
          </w:tcPr>
          <w:p>
            <w:r>
              <w:rPr>
                <w:rFonts w:ascii="Calibri" w:hAnsi="Calibri"/>
                <w:sz w:val="22"/>
              </w:rPr>
              <w:t>~-1.1% vs. FY guide</w:t>
            </w:r>
          </w:p>
        </w:tc>
      </w:tr>
      <w:tr>
        <w:tc>
          <w:tcPr>
            <w:tcW w:type="dxa" w:w="1234"/>
          </w:tcPr>
          <w:p>
            <w:r>
              <w:rPr>
                <w:rFonts w:ascii="Calibri" w:hAnsi="Calibri"/>
                <w:sz w:val="22"/>
              </w:rPr>
              <w:t>Operating EPS (Diluted, Adj.)</w:t>
            </w:r>
          </w:p>
        </w:tc>
        <w:tc>
          <w:tcPr>
            <w:tcW w:type="dxa" w:w="1234"/>
          </w:tcPr>
          <w:p>
            <w:r>
              <w:rPr>
                <w:rFonts w:ascii="Calibri" w:hAnsi="Calibri"/>
                <w:sz w:val="22"/>
              </w:rPr>
              <w:t>$3.09</w:t>
            </w:r>
          </w:p>
        </w:tc>
        <w:tc>
          <w:tcPr>
            <w:tcW w:type="dxa" w:w="1234"/>
          </w:tcPr>
          <w:p>
            <w:r>
              <w:rPr>
                <w:rFonts w:ascii="Calibri" w:hAnsi="Calibri"/>
                <w:sz w:val="22"/>
              </w:rPr>
              <w:t>$2.91</w:t>
            </w:r>
          </w:p>
        </w:tc>
        <w:tc>
          <w:tcPr>
            <w:tcW w:type="dxa" w:w="1234"/>
          </w:tcPr>
          <w:p>
            <w:r>
              <w:rPr>
                <w:rFonts w:ascii="Calibri" w:hAnsi="Calibri"/>
                <w:sz w:val="22"/>
              </w:rPr>
              <w:t>$3.05</w:t>
            </w:r>
          </w:p>
        </w:tc>
        <w:tc>
          <w:tcPr>
            <w:tcW w:type="dxa" w:w="1234"/>
          </w:tcPr>
          <w:p>
            <w:r>
              <w:rPr>
                <w:rFonts w:ascii="Calibri" w:hAnsi="Calibri"/>
                <w:sz w:val="22"/>
              </w:rPr>
              <w:t>+4.8%</w:t>
            </w:r>
          </w:p>
        </w:tc>
        <w:tc>
          <w:tcPr>
            <w:tcW w:type="dxa" w:w="1234"/>
          </w:tcPr>
          <w:p>
            <w:r>
              <w:rPr>
                <w:rFonts w:ascii="Calibri" w:hAnsi="Calibri"/>
                <w:sz w:val="22"/>
              </w:rPr>
              <w:t>$12.92 (FY; raised at Investor Day)</w:t>
            </w:r>
          </w:p>
        </w:tc>
        <w:tc>
          <w:tcPr>
            <w:tcW w:type="dxa" w:w="1234"/>
          </w:tcPr>
          <w:p>
            <w:r>
              <w:rPr>
                <w:rFonts w:ascii="Calibri" w:hAnsi="Calibri"/>
                <w:sz w:val="22"/>
              </w:rPr>
              <w:t>~53% of FY EPS in H2 per mgmt</w:t>
            </w:r>
          </w:p>
        </w:tc>
      </w:tr>
      <w:tr>
        <w:tc>
          <w:tcPr>
            <w:tcW w:type="dxa" w:w="1234"/>
          </w:tcPr>
          <w:p>
            <w:r>
              <w:rPr>
                <w:rFonts w:ascii="Calibri" w:hAnsi="Calibri"/>
                <w:sz w:val="22"/>
              </w:rPr>
              <w:t>Operating Income (Adj.) ($M)</w:t>
            </w:r>
          </w:p>
        </w:tc>
        <w:tc>
          <w:tcPr>
            <w:tcW w:type="dxa" w:w="1234"/>
          </w:tcPr>
          <w:p>
            <w:r>
              <w:rPr>
                <w:rFonts w:ascii="Calibri" w:hAnsi="Calibri"/>
                <w:sz w:val="22"/>
              </w:rPr>
              <w:t>$166.6M</w:t>
            </w:r>
          </w:p>
        </w:tc>
        <w:tc>
          <w:tcPr>
            <w:tcW w:type="dxa" w:w="1234"/>
          </w:tcPr>
          <w:p>
            <w:r>
              <w:rPr>
                <w:rFonts w:ascii="Calibri" w:hAnsi="Calibri"/>
                <w:sz w:val="22"/>
              </w:rPr>
              <w:t>$158.1M</w:t>
            </w:r>
          </w:p>
        </w:tc>
        <w:tc>
          <w:tcPr>
            <w:tcW w:type="dxa" w:w="1234"/>
          </w:tcPr>
          <w:p>
            <w:r>
              <w:rPr>
                <w:rFonts w:ascii="Calibri" w:hAnsi="Calibri"/>
                <w:sz w:val="22"/>
              </w:rPr>
              <w:t>$170.4M</w:t>
            </w:r>
          </w:p>
        </w:tc>
        <w:tc>
          <w:tcPr>
            <w:tcW w:type="dxa" w:w="1234"/>
          </w:tcPr>
          <w:p>
            <w:r>
              <w:rPr>
                <w:rFonts w:ascii="Calibri" w:hAnsi="Calibri"/>
                <w:sz w:val="22"/>
              </w:rPr>
              <w:t>+7.8%</w:t>
            </w:r>
          </w:p>
        </w:tc>
        <w:tc>
          <w:tcPr>
            <w:tcW w:type="dxa" w:w="1234"/>
          </w:tcPr>
          <w:p>
            <w:r>
              <w:rPr>
                <w:rFonts w:ascii="Calibri" w:hAnsi="Calibri"/>
                <w:sz w:val="22"/>
              </w:rPr>
              <w:t>~$694M (FY)</w:t>
            </w:r>
          </w:p>
        </w:tc>
        <w:tc>
          <w:tcPr>
            <w:tcW w:type="dxa" w:w="1234"/>
          </w:tcPr>
          <w:p>
            <w:r>
              <w:rPr>
                <w:rFonts w:ascii="Calibri" w:hAnsi="Calibri"/>
                <w:sz w:val="22"/>
              </w:rPr>
              <w:t>In line with FY guide</w:t>
            </w:r>
          </w:p>
        </w:tc>
      </w:tr>
      <w:tr>
        <w:tc>
          <w:tcPr>
            <w:tcW w:type="dxa" w:w="1234"/>
          </w:tcPr>
          <w:p>
            <w:r>
              <w:rPr>
                <w:rFonts w:ascii="Calibri" w:hAnsi="Calibri"/>
                <w:sz w:val="22"/>
              </w:rPr>
              <w:t>Free Cash Flow ($M)</w:t>
            </w:r>
          </w:p>
        </w:tc>
        <w:tc>
          <w:tcPr>
            <w:tcW w:type="dxa" w:w="1234"/>
          </w:tcPr>
          <w:p>
            <w:r>
              <w:rPr>
                <w:rFonts w:ascii="Calibri" w:hAnsi="Calibri"/>
                <w:sz w:val="22"/>
              </w:rPr>
              <w:t>$102.8M</w:t>
            </w:r>
          </w:p>
        </w:tc>
        <w:tc>
          <w:tcPr>
            <w:tcW w:type="dxa" w:w="1234"/>
          </w:tcPr>
          <w:p>
            <w:r>
              <w:rPr>
                <w:rFonts w:ascii="Calibri" w:hAnsi="Calibri"/>
                <w:sz w:val="22"/>
              </w:rPr>
              <w:t>$87.9M</w:t>
            </w:r>
          </w:p>
        </w:tc>
        <w:tc>
          <w:tcPr>
            <w:tcW w:type="dxa" w:w="1234"/>
          </w:tcPr>
          <w:p>
            <w:r>
              <w:rPr>
                <w:rFonts w:ascii="Calibri" w:hAnsi="Calibri"/>
                <w:sz w:val="22"/>
              </w:rPr>
              <w:t>$96.9M</w:t>
            </w:r>
          </w:p>
        </w:tc>
        <w:tc>
          <w:tcPr>
            <w:tcW w:type="dxa" w:w="1234"/>
          </w:tcPr>
          <w:p>
            <w:r>
              <w:rPr>
                <w:rFonts w:ascii="Calibri" w:hAnsi="Calibri"/>
                <w:sz w:val="22"/>
              </w:rPr>
              <w:t>+10.2%</w:t>
            </w:r>
          </w:p>
        </w:tc>
        <w:tc>
          <w:tcPr>
            <w:tcW w:type="dxa" w:w="1234"/>
          </w:tcPr>
          <w:p>
            <w:r>
              <w:rPr>
                <w:rFonts w:ascii="Calibri" w:hAnsi="Calibri"/>
                <w:sz w:val="22"/>
              </w:rPr>
              <w:t>~$698M (FY)</w:t>
            </w:r>
          </w:p>
        </w:tc>
        <w:tc>
          <w:tcPr>
            <w:tcW w:type="dxa" w:w="1234"/>
          </w:tcPr>
          <w:p>
            <w:r>
              <w:rPr>
                <w:rFonts w:ascii="Calibri" w:hAnsi="Calibri"/>
                <w:sz w:val="22"/>
              </w:rPr>
              <w:t>In line with FY guide</w:t>
            </w:r>
          </w:p>
        </w:tc>
      </w:tr>
      <w:tr>
        <w:tc>
          <w:tcPr>
            <w:tcW w:type="dxa" w:w="1234"/>
          </w:tcPr>
          <w:p>
            <w:r>
              <w:rPr>
                <w:rFonts w:ascii="Calibri" w:hAnsi="Calibri"/>
                <w:sz w:val="22"/>
              </w:rPr>
              <w:t>SaaS Bookings ($M)</w:t>
            </w:r>
          </w:p>
        </w:tc>
        <w:tc>
          <w:tcPr>
            <w:tcW w:type="dxa" w:w="1234"/>
          </w:tcPr>
          <w:p>
            <w:r>
              <w:rPr>
                <w:rFonts w:ascii="Calibri" w:hAnsi="Calibri"/>
                <w:sz w:val="22"/>
              </w:rPr>
              <w:t>$207.0M</w:t>
            </w:r>
          </w:p>
        </w:tc>
        <w:tc>
          <w:tcPr>
            <w:tcW w:type="dxa" w:w="1234"/>
          </w:tcPr>
          <w:p>
            <w:r>
              <w:rPr>
                <w:rFonts w:ascii="Calibri" w:hAnsi="Calibri"/>
                <w:sz w:val="22"/>
              </w:rPr>
              <w:t>$218.0M</w:t>
            </w:r>
          </w:p>
        </w:tc>
        <w:tc>
          <w:tcPr>
            <w:tcW w:type="dxa" w:w="1234"/>
          </w:tcPr>
          <w:p>
            <w:r>
              <w:rPr>
                <w:rFonts w:ascii="Calibri" w:hAnsi="Calibri"/>
                <w:sz w:val="22"/>
              </w:rPr>
              <w:t>N/A — not in VA consensus</w:t>
            </w:r>
          </w:p>
        </w:tc>
        <w:tc>
          <w:tcPr>
            <w:tcW w:type="dxa" w:w="1234"/>
          </w:tcPr>
          <w:p>
            <w:r>
              <w:rPr>
                <w:rFonts w:ascii="Calibri" w:hAnsi="Calibri"/>
                <w:sz w:val="22"/>
              </w:rPr>
              <w:t>N/A</w:t>
            </w:r>
          </w:p>
        </w:tc>
        <w:tc>
          <w:tcPr>
            <w:tcW w:type="dxa" w:w="1234"/>
          </w:tcPr>
          <w:p>
            <w:r>
              <w:rPr>
                <w:rFonts w:ascii="Calibri" w:hAnsi="Calibri"/>
                <w:sz w:val="22"/>
              </w:rPr>
              <w:t>Higher YoY expected (mgmt)</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~May 4, 2026 (5 trading days post Q1 2026 earnings). SaaS Bookings not tracked in VA consensus. FY 2026 guidance reflects raised guidance from Q1 2026 earnings call (April 29, 2026) and Investor Day (June 9, 2026) EPS raise of $0.30.</w:t>
      </w:r>
    </w:p>
    <w:p>
      <w:pPr>
        <w:pStyle w:val="Heading3"/>
      </w:pPr>
      <w:r>
        <w:rPr>
          <w:rFonts w:ascii="Calibri" w:hAnsi="Calibri"/>
          <w:b/>
          <w:color w:val="3B4259"/>
          <w:sz w:val="24"/>
        </w:rPr>
        <w:t>Table 2 — Beat/Miss History (Last 8 Quarters, Top 2 KPIs: Total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$613.5M</w:t>
            </w:r>
          </w:p>
        </w:tc>
        <w:tc>
          <w:tcPr>
            <w:tcW w:type="dxa" w:w="1440"/>
          </w:tcPr>
          <w:p>
            <w:r>
              <w:rPr>
                <w:rFonts w:ascii="Calibri" w:hAnsi="Calibri"/>
                <w:sz w:val="22"/>
              </w:rPr>
              <w:t>$610.7M</w:t>
            </w:r>
          </w:p>
        </w:tc>
        <w:tc>
          <w:tcPr>
            <w:tcW w:type="dxa" w:w="1440"/>
          </w:tcPr>
          <w:p>
            <w:r>
              <w:rPr>
                <w:rFonts w:ascii="Calibri" w:hAnsi="Calibri"/>
                <w:b/>
                <w:color w:val="30A46C"/>
                <w:sz w:val="22"/>
              </w:rPr>
              <w:t>+0.5%</w:t>
            </w:r>
          </w:p>
        </w:tc>
        <w:tc>
          <w:tcPr>
            <w:tcW w:type="dxa" w:w="1440"/>
          </w:tcPr>
          <w:p>
            <w:r>
              <w:rPr>
                <w:rFonts w:ascii="Calibri" w:hAnsi="Calibri"/>
                <w:sz w:val="22"/>
              </w:rPr>
              <w:t>Slight Beat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$3.09</w:t>
            </w:r>
          </w:p>
        </w:tc>
        <w:tc>
          <w:tcPr>
            <w:tcW w:type="dxa" w:w="1440"/>
          </w:tcPr>
          <w:p>
            <w:r>
              <w:rPr>
                <w:rFonts w:ascii="Calibri" w:hAnsi="Calibri"/>
                <w:sz w:val="22"/>
              </w:rPr>
              <w:t>$2.98</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$575.2M</w:t>
            </w:r>
          </w:p>
        </w:tc>
        <w:tc>
          <w:tcPr>
            <w:tcW w:type="dxa" w:w="1440"/>
          </w:tcPr>
          <w:p>
            <w:r>
              <w:rPr>
                <w:rFonts w:ascii="Calibri" w:hAnsi="Calibri"/>
                <w:sz w:val="22"/>
              </w:rPr>
              <w:t>$591.9M</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$2.64</w:t>
            </w:r>
          </w:p>
        </w:tc>
        <w:tc>
          <w:tcPr>
            <w:tcW w:type="dxa" w:w="1440"/>
          </w:tcPr>
          <w:p>
            <w:r>
              <w:rPr>
                <w:rFonts w:ascii="Calibri" w:hAnsi="Calibri"/>
                <w:sz w:val="22"/>
              </w:rPr>
              <w:t>$2.72</w:t>
            </w:r>
          </w:p>
        </w:tc>
        <w:tc>
          <w:tcPr>
            <w:tcW w:type="dxa" w:w="1440"/>
          </w:tcPr>
          <w:p>
            <w:r>
              <w:rPr>
                <w:rFonts w:ascii="Calibri" w:hAnsi="Calibri"/>
                <w:b/>
                <w:color w:val="E5484D"/>
                <w:sz w:val="22"/>
              </w:rPr>
              <w:t>-2.9%</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$595.9M</w:t>
            </w:r>
          </w:p>
        </w:tc>
        <w:tc>
          <w:tcPr>
            <w:tcW w:type="dxa" w:w="1440"/>
          </w:tcPr>
          <w:p>
            <w:r>
              <w:rPr>
                <w:rFonts w:ascii="Calibri" w:hAnsi="Calibri"/>
                <w:sz w:val="22"/>
              </w:rPr>
              <w:t>$595.0M</w:t>
            </w:r>
          </w:p>
        </w:tc>
        <w:tc>
          <w:tcPr>
            <w:tcW w:type="dxa" w:w="1440"/>
          </w:tcPr>
          <w:p>
            <w:r>
              <w:rPr>
                <w:rFonts w:ascii="Calibri" w:hAnsi="Calibri"/>
                <w:b/>
                <w:color w:val="30A46C"/>
                <w:sz w:val="22"/>
              </w:rPr>
              <w:t>+0.1%</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$2.97</w:t>
            </w:r>
          </w:p>
        </w:tc>
        <w:tc>
          <w:tcPr>
            <w:tcW w:type="dxa" w:w="1440"/>
          </w:tcPr>
          <w:p>
            <w:r>
              <w:rPr>
                <w:rFonts w:ascii="Calibri" w:hAnsi="Calibri"/>
                <w:sz w:val="22"/>
              </w:rPr>
              <w:t>$2.87</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$596.1M</w:t>
            </w:r>
          </w:p>
        </w:tc>
        <w:tc>
          <w:tcPr>
            <w:tcW w:type="dxa" w:w="1440"/>
          </w:tcPr>
          <w:p>
            <w:r>
              <w:rPr>
                <w:rFonts w:ascii="Calibri" w:hAnsi="Calibri"/>
                <w:sz w:val="22"/>
              </w:rPr>
              <w:t>$589.5M</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$2.91</w:t>
            </w:r>
          </w:p>
        </w:tc>
        <w:tc>
          <w:tcPr>
            <w:tcW w:type="dxa" w:w="1440"/>
          </w:tcPr>
          <w:p>
            <w:r>
              <w:rPr>
                <w:rFonts w:ascii="Calibri" w:hAnsi="Calibri"/>
                <w:sz w:val="22"/>
              </w:rPr>
              <w:t>$2.76</w:t>
            </w:r>
          </w:p>
        </w:tc>
        <w:tc>
          <w:tcPr>
            <w:tcW w:type="dxa" w:w="1440"/>
          </w:tcPr>
          <w:p>
            <w:r>
              <w:rPr>
                <w:rFonts w:ascii="Calibri" w:hAnsi="Calibri"/>
                <w:b/>
                <w:color w:val="30A46C"/>
                <w:sz w:val="22"/>
              </w:rPr>
              <w:t>+5.4%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$565.2M</w:t>
            </w:r>
          </w:p>
        </w:tc>
        <w:tc>
          <w:tcPr>
            <w:tcW w:type="dxa" w:w="1440"/>
          </w:tcPr>
          <w:p>
            <w:r>
              <w:rPr>
                <w:rFonts w:ascii="Calibri" w:hAnsi="Calibri"/>
                <w:sz w:val="22"/>
              </w:rPr>
              <w:t>$557.6M</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$2.78</w:t>
            </w:r>
          </w:p>
        </w:tc>
        <w:tc>
          <w:tcPr>
            <w:tcW w:type="dxa" w:w="1440"/>
          </w:tcPr>
          <w:p>
            <w:r>
              <w:rPr>
                <w:rFonts w:ascii="Calibri" w:hAnsi="Calibri"/>
                <w:sz w:val="22"/>
              </w:rPr>
              <w:t>$2.55</w:t>
            </w:r>
          </w:p>
        </w:tc>
        <w:tc>
          <w:tcPr>
            <w:tcW w:type="dxa" w:w="1440"/>
          </w:tcPr>
          <w:p>
            <w:r>
              <w:rPr>
                <w:rFonts w:ascii="Calibri" w:hAnsi="Calibri"/>
                <w:b/>
                <w:color w:val="30A46C"/>
                <w:sz w:val="22"/>
              </w:rPr>
              <w:t>+9.0%</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$541.1M</w:t>
            </w:r>
          </w:p>
        </w:tc>
        <w:tc>
          <w:tcPr>
            <w:tcW w:type="dxa" w:w="1440"/>
          </w:tcPr>
          <w:p>
            <w:r>
              <w:rPr>
                <w:rFonts w:ascii="Calibri" w:hAnsi="Calibri"/>
                <w:sz w:val="22"/>
              </w:rPr>
              <w:t>$541.3M</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$2.43</w:t>
            </w:r>
          </w:p>
        </w:tc>
        <w:tc>
          <w:tcPr>
            <w:tcW w:type="dxa" w:w="1440"/>
          </w:tcPr>
          <w:p>
            <w:r>
              <w:rPr>
                <w:rFonts w:ascii="Calibri" w:hAnsi="Calibri"/>
                <w:sz w:val="22"/>
              </w:rPr>
              <w:t>$2.44</w:t>
            </w:r>
          </w:p>
        </w:tc>
        <w:tc>
          <w:tcPr>
            <w:tcW w:type="dxa" w:w="1440"/>
          </w:tcPr>
          <w:p>
            <w:r>
              <w:rPr>
                <w:rFonts w:ascii="Calibri" w:hAnsi="Calibri"/>
                <w:sz w:val="22"/>
              </w:rPr>
              <w:t>-0.4%</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$543.3M</w:t>
            </w:r>
          </w:p>
        </w:tc>
        <w:tc>
          <w:tcPr>
            <w:tcW w:type="dxa" w:w="1440"/>
          </w:tcPr>
          <w:p>
            <w:r>
              <w:rPr>
                <w:rFonts w:ascii="Calibri" w:hAnsi="Calibri"/>
                <w:sz w:val="22"/>
              </w:rPr>
              <w:t>$549.0M</w:t>
            </w:r>
          </w:p>
        </w:tc>
        <w:tc>
          <w:tcPr>
            <w:tcW w:type="dxa" w:w="1440"/>
          </w:tcPr>
          <w:p>
            <w:r>
              <w:rPr>
                <w:rFonts w:ascii="Calibri" w:hAnsi="Calibri"/>
                <w:b/>
                <w:color w:val="E5484D"/>
                <w:sz w:val="22"/>
              </w:rPr>
              <w:t>-1.0%</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$2.52</w:t>
            </w:r>
          </w:p>
        </w:tc>
        <w:tc>
          <w:tcPr>
            <w:tcW w:type="dxa" w:w="1440"/>
          </w:tcPr>
          <w:p>
            <w:r>
              <w:rPr>
                <w:rFonts w:ascii="Calibri" w:hAnsi="Calibri"/>
                <w:sz w:val="22"/>
              </w:rPr>
              <w:t>$2.44</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$541.0M</w:t>
            </w:r>
          </w:p>
        </w:tc>
        <w:tc>
          <w:tcPr>
            <w:tcW w:type="dxa" w:w="1440"/>
          </w:tcPr>
          <w:p>
            <w:r>
              <w:rPr>
                <w:rFonts w:ascii="Calibri" w:hAnsi="Calibri"/>
                <w:sz w:val="22"/>
              </w:rPr>
              <w:t>$542.8M</w:t>
            </w:r>
          </w:p>
        </w:tc>
        <w:tc>
          <w:tcPr>
            <w:tcW w:type="dxa" w:w="1440"/>
          </w:tcPr>
          <w:p>
            <w:r>
              <w:rPr>
                <w:rFonts w:ascii="Calibri" w:hAnsi="Calibri"/>
                <w:sz w:val="22"/>
              </w:rPr>
              <w:t>-0.3%</w:t>
            </w:r>
          </w:p>
        </w:tc>
        <w:tc>
          <w:tcPr>
            <w:tcW w:type="dxa" w:w="1440"/>
          </w:tcPr>
          <w:p>
            <w:r>
              <w:rPr>
                <w:rFonts w:ascii="Calibri" w:hAnsi="Calibri"/>
                <w:sz w:val="22"/>
              </w:rPr>
              <w:t>In Line</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$2.40</w:t>
            </w:r>
          </w:p>
        </w:tc>
        <w:tc>
          <w:tcPr>
            <w:tcW w:type="dxa" w:w="1440"/>
          </w:tcPr>
          <w:p>
            <w:r>
              <w:rPr>
                <w:rFonts w:ascii="Calibri" w:hAnsi="Calibri"/>
                <w:sz w:val="22"/>
              </w:rPr>
              <w:t>$2.31</w:t>
            </w:r>
          </w:p>
        </w:tc>
        <w:tc>
          <w:tcPr>
            <w:tcW w:type="dxa" w:w="1440"/>
          </w:tcPr>
          <w:p>
            <w:r>
              <w:rPr>
                <w:rFonts w:ascii="Calibri" w:hAnsi="Calibri"/>
                <w:b/>
                <w:color w:val="30A46C"/>
                <w:sz w:val="22"/>
              </w:rPr>
              <w:t>+3.9%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TYL has beaten Operating EPS consensus in 7 of the last 8 quarters, with the sole miss in Q4 2025 (a seasonally weak quarter). Revenue beats are narrower and less consistent — TYL missed revenue in Q3 2024 and Q4 2025 — but the EPS beat cadence is strong, driven by operating leverage and share repurchases.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raised twice since Q1 2026 earnings — first at the Q1 print (revenue and SaaS raised for FTR acquisition and transaction outperformance) and again at Investor Day on June 9, 2026 (EPS raised $0.30 for the accretive convertible note offering); management tone has shifted from cautiously optimistic to </w:t>
      </w:r>
      <w:r>
        <w:rPr>
          <w:rFonts w:ascii="Calibri" w:hAnsi="Calibri"/>
          <w:b/>
          <w:color w:val="525866"/>
          <w:sz w:val="22"/>
        </w:rPr>
        <w:t>assertively confident</w:t>
      </w:r>
      <w:r>
        <w:rPr>
          <w:rFonts w:ascii="Calibri" w:hAnsi="Calibri"/>
          <w:color w:val="525866"/>
          <w:sz w:val="22"/>
        </w:rPr>
        <w:t xml:space="preserve"> on cloud migration pace, bookings momentum, and capital allocation.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 2026)</w:t>
            </w:r>
          </w:p>
        </w:tc>
        <w:tc>
          <w:tcPr>
            <w:tcW w:type="dxa" w:w="1728"/>
          </w:tcPr>
          <w:p>
            <w:r>
              <w:rPr>
                <w:rFonts w:ascii="Calibri" w:hAnsi="Calibri"/>
                <w:sz w:val="22"/>
              </w:rPr>
              <w:t>Raised from prior guide; FTR adds ~$30M; transaction outperformance factored in</w:t>
            </w:r>
          </w:p>
        </w:tc>
        <w:tc>
          <w:tcPr>
            <w:tcW w:type="dxa" w:w="1728"/>
          </w:tcPr>
          <w:p>
            <w:r>
              <w:rPr>
                <w:rFonts w:ascii="Calibri" w:hAnsi="Calibri"/>
                <w:sz w:val="22"/>
              </w:rPr>
              <w:t>Unchanged at Investor Day</w:t>
            </w:r>
          </w:p>
        </w:tc>
        <w:tc>
          <w:tcPr>
            <w:tcW w:type="dxa" w:w="1728"/>
          </w:tcPr>
          <w:p>
            <w:r>
              <w:rPr>
                <w:rFonts w:ascii="Calibri" w:hAnsi="Calibri"/>
                <w:sz w:val="22"/>
              </w:rPr>
              <w:t>~$2,558M</w:t>
            </w:r>
          </w:p>
        </w:tc>
        <w:tc>
          <w:tcPr>
            <w:tcW w:type="dxa" w:w="1728"/>
          </w:tcPr>
          <w:p>
            <w:r>
              <w:rPr>
                <w:rFonts w:ascii="Calibri" w:hAnsi="Calibri"/>
                <w:sz w:val="22"/>
              </w:rPr>
              <w:t>↑ Raised at Q1 earnings (Apr 29); FTR acquisition and Q1 transaction beat primary drivers; no further change at Investor Day</w:t>
            </w:r>
          </w:p>
        </w:tc>
      </w:tr>
      <w:tr>
        <w:tc>
          <w:tcPr>
            <w:tcW w:type="dxa" w:w="1728"/>
          </w:tcPr>
          <w:p>
            <w:r>
              <w:rPr>
                <w:rFonts w:ascii="Calibri" w:hAnsi="Calibri"/>
                <w:sz w:val="22"/>
              </w:rPr>
              <w:t>SaaS Revenue (FY 2026)</w:t>
            </w:r>
          </w:p>
        </w:tc>
        <w:tc>
          <w:tcPr>
            <w:tcW w:type="dxa" w:w="1728"/>
          </w:tcPr>
          <w:p>
            <w:r>
              <w:rPr>
                <w:rFonts w:ascii="Calibri" w:hAnsi="Calibri"/>
                <w:sz w:val="22"/>
              </w:rPr>
              <w:t>Raised; FTR (~70% software revenues) and bookings timing fine-tuning</w:t>
            </w:r>
          </w:p>
        </w:tc>
        <w:tc>
          <w:tcPr>
            <w:tcW w:type="dxa" w:w="1728"/>
          </w:tcPr>
          <w:p>
            <w:r>
              <w:rPr>
                <w:rFonts w:ascii="Calibri" w:hAnsi="Calibri"/>
                <w:sz w:val="22"/>
              </w:rPr>
              <w:t>Unchanged at Investor Day</w:t>
            </w:r>
          </w:p>
        </w:tc>
        <w:tc>
          <w:tcPr>
            <w:tcW w:type="dxa" w:w="1728"/>
          </w:tcPr>
          <w:p>
            <w:r>
              <w:rPr>
                <w:rFonts w:ascii="Calibri" w:hAnsi="Calibri"/>
                <w:sz w:val="22"/>
              </w:rPr>
              <w:t>~$955M (~20% growth)</w:t>
            </w:r>
          </w:p>
        </w:tc>
        <w:tc>
          <w:tcPr>
            <w:tcW w:type="dxa" w:w="1728"/>
          </w:tcPr>
          <w:p>
            <w:r>
              <w:rPr>
                <w:rFonts w:ascii="Calibri" w:hAnsi="Calibri"/>
                <w:sz w:val="22"/>
              </w:rPr>
              <w:t>↑ Raised at Q1 earnings; FTR is primary driver; no fundamental change to underlying outlook</w:t>
            </w:r>
          </w:p>
        </w:tc>
      </w:tr>
      <w:tr>
        <w:tc>
          <w:tcPr>
            <w:tcW w:type="dxa" w:w="1728"/>
          </w:tcPr>
          <w:p>
            <w:r>
              <w:rPr>
                <w:rFonts w:ascii="Calibri" w:hAnsi="Calibri"/>
                <w:sz w:val="22"/>
              </w:rPr>
              <w:t>Transaction Revenue (FY 2026)</w:t>
            </w:r>
          </w:p>
        </w:tc>
        <w:tc>
          <w:tcPr>
            <w:tcW w:type="dxa" w:w="1728"/>
          </w:tcPr>
          <w:p>
            <w:r>
              <w:rPr>
                <w:rFonts w:ascii="Calibri" w:hAnsi="Calibri"/>
                <w:sz w:val="22"/>
              </w:rPr>
              <w:t>Modestly higher volumes factored in; low-double-digit growth ex-Texas wind-down</w:t>
            </w:r>
          </w:p>
        </w:tc>
        <w:tc>
          <w:tcPr>
            <w:tcW w:type="dxa" w:w="1728"/>
          </w:tcPr>
          <w:p>
            <w:r>
              <w:rPr>
                <w:rFonts w:ascii="Calibri" w:hAnsi="Calibri"/>
                <w:sz w:val="22"/>
              </w:rPr>
              <w:t>Unchanged at Investor Day</w:t>
            </w:r>
          </w:p>
        </w:tc>
        <w:tc>
          <w:tcPr>
            <w:tcW w:type="dxa" w:w="1728"/>
          </w:tcPr>
          <w:p>
            <w:r>
              <w:rPr>
                <w:rFonts w:ascii="Calibri" w:hAnsi="Calibri"/>
                <w:sz w:val="22"/>
              </w:rPr>
              <w:t>~$867M</w:t>
            </w:r>
          </w:p>
        </w:tc>
        <w:tc>
          <w:tcPr>
            <w:tcW w:type="dxa" w:w="1728"/>
          </w:tcPr>
          <w:p>
            <w:r>
              <w:rPr>
                <w:rFonts w:ascii="Calibri" w:hAnsi="Calibri"/>
                <w:sz w:val="22"/>
              </w:rPr>
              <w:t>↑ Raised at Q1 earnings; Q1 outperformance and modestly higher volume expectations incorporated</w:t>
            </w:r>
          </w:p>
        </w:tc>
      </w:tr>
      <w:tr>
        <w:tc>
          <w:tcPr>
            <w:tcW w:type="dxa" w:w="1728"/>
          </w:tcPr>
          <w:p>
            <w:r>
              <w:rPr>
                <w:rFonts w:ascii="Calibri" w:hAnsi="Calibri"/>
                <w:sz w:val="22"/>
              </w:rPr>
              <w:t>Operating EPS (FY 2026)</w:t>
            </w:r>
          </w:p>
        </w:tc>
        <w:tc>
          <w:tcPr>
            <w:tcW w:type="dxa" w:w="1728"/>
          </w:tcPr>
          <w:p>
            <w:r>
              <w:rPr>
                <w:rFonts w:ascii="Calibri" w:hAnsi="Calibri"/>
                <w:sz w:val="22"/>
              </w:rPr>
              <w:t>Modest EPS contribution from FTR; FCF margin unchanged</w:t>
            </w:r>
          </w:p>
        </w:tc>
        <w:tc>
          <w:tcPr>
            <w:tcW w:type="dxa" w:w="1728"/>
          </w:tcPr>
          <w:p>
            <w:r>
              <w:rPr>
                <w:rFonts w:ascii="Calibri" w:hAnsi="Calibri"/>
                <w:sz w:val="22"/>
              </w:rPr>
              <w:t>$12.92 (raised $0.30 at Investor Day, Jun 9)</w:t>
            </w:r>
          </w:p>
        </w:tc>
        <w:tc>
          <w:tcPr>
            <w:tcW w:type="dxa" w:w="1728"/>
          </w:tcPr>
          <w:p>
            <w:r>
              <w:rPr>
                <w:rFonts w:ascii="Calibri" w:hAnsi="Calibri"/>
                <w:sz w:val="22"/>
              </w:rPr>
              <w:t>$12.92</w:t>
            </w:r>
          </w:p>
        </w:tc>
        <w:tc>
          <w:tcPr>
            <w:tcW w:type="dxa" w:w="1728"/>
          </w:tcPr>
          <w:p>
            <w:r>
              <w:rPr>
                <w:rFonts w:ascii="Calibri" w:hAnsi="Calibri"/>
                <w:sz w:val="22"/>
              </w:rPr>
              <w:t>↑ Raised $0.30 at Investor Day (Jun 9); accretive impact of $1.44B convertible note offering (higher net interest income + lower share count); H2 weighted (~53% of FY EPS in H2)</w:t>
            </w:r>
          </w:p>
        </w:tc>
      </w:tr>
      <w:tr>
        <w:tc>
          <w:tcPr>
            <w:tcW w:type="dxa" w:w="1728"/>
          </w:tcPr>
          <w:p>
            <w:r>
              <w:rPr>
                <w:rFonts w:ascii="Calibri" w:hAnsi="Calibri"/>
                <w:sz w:val="22"/>
              </w:rPr>
              <w:t>Free Cash Flow Margin (FY 2026)</w:t>
            </w:r>
          </w:p>
        </w:tc>
        <w:tc>
          <w:tcPr>
            <w:tcW w:type="dxa" w:w="1728"/>
          </w:tcPr>
          <w:p>
            <w:r>
              <w:rPr>
                <w:rFonts w:ascii="Calibri" w:hAnsi="Calibri"/>
                <w:sz w:val="22"/>
              </w:rPr>
              <w:t>Unchanged; "expectation hasn’t changed at all" (mgmt Q1 call)</w:t>
            </w:r>
          </w:p>
        </w:tc>
        <w:tc>
          <w:tcPr>
            <w:tcW w:type="dxa" w:w="1728"/>
          </w:tcPr>
          <w:p>
            <w:r>
              <w:rPr>
                <w:rFonts w:ascii="Calibri" w:hAnsi="Calibri"/>
                <w:sz w:val="22"/>
              </w:rPr>
              <w:t>—</w:t>
            </w:r>
          </w:p>
        </w:tc>
        <w:tc>
          <w:tcPr>
            <w:tcW w:type="dxa" w:w="1728"/>
          </w:tcPr>
          <w:p>
            <w:r>
              <w:rPr>
                <w:rFonts w:ascii="Calibri" w:hAnsi="Calibri"/>
                <w:sz w:val="22"/>
              </w:rPr>
              <w:t>~$698M</w:t>
            </w:r>
          </w:p>
        </w:tc>
        <w:tc>
          <w:tcPr>
            <w:tcW w:type="dxa" w:w="1728"/>
          </w:tcPr>
          <w:p>
            <w:r>
              <w:rPr>
                <w:rFonts w:ascii="Calibri" w:hAnsi="Calibri"/>
                <w:sz w:val="22"/>
              </w:rPr>
              <w:t>Unchanged; FCF more than doubled YoY in Q1 on working capital improvements and lower CapEx</w:t>
            </w:r>
          </w:p>
        </w:tc>
      </w:tr>
      <w:tr>
        <w:tc>
          <w:tcPr>
            <w:tcW w:type="dxa" w:w="1728"/>
          </w:tcPr>
          <w:p>
            <w:r>
              <w:rPr>
                <w:rFonts w:ascii="Calibri" w:hAnsi="Calibri"/>
                <w:sz w:val="22"/>
              </w:rPr>
              <w:t>Cloud Flip Volume (FY 2026)</w:t>
            </w:r>
          </w:p>
        </w:tc>
        <w:tc>
          <w:tcPr>
            <w:tcW w:type="dxa" w:w="1728"/>
          </w:tcPr>
          <w:p>
            <w:r>
              <w:rPr>
                <w:rFonts w:ascii="Calibri" w:hAnsi="Calibri"/>
                <w:sz w:val="22"/>
              </w:rPr>
              <w:t>Expected higher than 2025 in dollar terms; peak flip activity in 2027–2029 window</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Confidence level described as "really high"; customers very receptive; AI features increasingly cloud-only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up since the Q1 print, tracking the raised guidance — the most notable revision is the </w:t>
      </w:r>
      <w:r>
        <w:rPr>
          <w:rFonts w:ascii="Calibri" w:hAnsi="Calibri"/>
          <w:b/>
          <w:color w:val="525866"/>
          <w:sz w:val="22"/>
        </w:rPr>
        <w:t>$0.30 EPS raise</w:t>
      </w:r>
      <w:r>
        <w:rPr>
          <w:rFonts w:ascii="Calibri" w:hAnsi="Calibri"/>
          <w:color w:val="525866"/>
          <w:sz w:val="22"/>
        </w:rPr>
        <w:t xml:space="preserve"> at Investor Day (June 9) flowing through to FY 2026 consensus; revenue and SaaS estimates are broadly in line with the raised guide, suggesting the bar is fair but not stretched.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4,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$648.6M</w:t>
            </w:r>
          </w:p>
        </w:tc>
        <w:tc>
          <w:tcPr>
            <w:tcW w:type="dxa" w:w="1080"/>
          </w:tcPr>
          <w:p>
            <w:r>
              <w:rPr>
                <w:rFonts w:ascii="Calibri" w:hAnsi="Calibri"/>
                <w:sz w:val="22"/>
              </w:rPr>
              <w:t>$647.9M</w:t>
            </w:r>
          </w:p>
        </w:tc>
        <w:tc>
          <w:tcPr>
            <w:tcW w:type="dxa" w:w="1080"/>
          </w:tcPr>
          <w:p>
            <w:r>
              <w:rPr>
                <w:rFonts w:ascii="Calibri" w:hAnsi="Calibri"/>
                <w:sz w:val="22"/>
              </w:rPr>
              <w:t>-0.1%</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$2,559M</w:t>
            </w:r>
          </w:p>
        </w:tc>
        <w:tc>
          <w:tcPr>
            <w:tcW w:type="dxa" w:w="1080"/>
          </w:tcPr>
          <w:p>
            <w:r>
              <w:rPr>
                <w:rFonts w:ascii="Calibri" w:hAnsi="Calibri"/>
                <w:sz w:val="22"/>
              </w:rPr>
              <w:t>$2,558M</w:t>
            </w:r>
          </w:p>
        </w:tc>
        <w:tc>
          <w:tcPr>
            <w:tcW w:type="dxa" w:w="1080"/>
          </w:tcPr>
          <w:p>
            <w:r>
              <w:rPr>
                <w:rFonts w:ascii="Calibri" w:hAnsi="Calibri"/>
                <w:sz w:val="22"/>
              </w:rPr>
              <w:t>~0.0%</w:t>
            </w:r>
          </w:p>
        </w:tc>
        <w:tc>
          <w:tcPr>
            <w:tcW w:type="dxa" w:w="1080"/>
          </w:tcPr>
          <w:p>
            <w:r>
              <w:rPr>
                <w:rFonts w:ascii="Calibri" w:hAnsi="Calibri"/>
                <w:sz w:val="22"/>
              </w:rPr>
              <w:t>Raised at Q1 earnings (FTR + transaction beat)</w:t>
            </w:r>
          </w:p>
        </w:tc>
        <w:tc>
          <w:tcPr>
            <w:tcW w:type="dxa" w:w="1080"/>
          </w:tcPr>
          <w:p>
            <w:r>
              <w:rPr>
                <w:rFonts w:ascii="Calibri" w:hAnsi="Calibri"/>
                <w:sz w:val="22"/>
              </w:rPr>
              <w:t>Unchanged at Investor Day</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SaaS Revenue — Q2 2026</w:t>
            </w:r>
          </w:p>
        </w:tc>
        <w:tc>
          <w:tcPr>
            <w:tcW w:type="dxa" w:w="1080"/>
          </w:tcPr>
          <w:p>
            <w:r>
              <w:rPr>
                <w:rFonts w:ascii="Calibri" w:hAnsi="Calibri"/>
                <w:sz w:val="22"/>
              </w:rPr>
              <w:t>$232.8M</w:t>
            </w:r>
          </w:p>
        </w:tc>
        <w:tc>
          <w:tcPr>
            <w:tcW w:type="dxa" w:w="1080"/>
          </w:tcPr>
          <w:p>
            <w:r>
              <w:rPr>
                <w:rFonts w:ascii="Calibri" w:hAnsi="Calibri"/>
                <w:sz w:val="22"/>
              </w:rPr>
              <w:t>$232.8M</w:t>
            </w:r>
          </w:p>
        </w:tc>
        <w:tc>
          <w:tcPr>
            <w:tcW w:type="dxa" w:w="1080"/>
          </w:tcPr>
          <w:p>
            <w:r>
              <w:rPr>
                <w:rFonts w:ascii="Calibri" w:hAnsi="Calibri"/>
                <w:sz w:val="22"/>
              </w:rPr>
              <w:t>0.0%</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SaaS Revenue — FY 2026</w:t>
            </w:r>
          </w:p>
        </w:tc>
        <w:tc>
          <w:tcPr>
            <w:tcW w:type="dxa" w:w="1080"/>
          </w:tcPr>
          <w:p>
            <w:r>
              <w:rPr>
                <w:rFonts w:ascii="Calibri" w:hAnsi="Calibri"/>
                <w:sz w:val="22"/>
              </w:rPr>
              <w:t>$955.3M</w:t>
            </w:r>
          </w:p>
        </w:tc>
        <w:tc>
          <w:tcPr>
            <w:tcW w:type="dxa" w:w="1080"/>
          </w:tcPr>
          <w:p>
            <w:r>
              <w:rPr>
                <w:rFonts w:ascii="Calibri" w:hAnsi="Calibri"/>
                <w:sz w:val="22"/>
              </w:rPr>
              <w:t>$955.3M</w:t>
            </w:r>
          </w:p>
        </w:tc>
        <w:tc>
          <w:tcPr>
            <w:tcW w:type="dxa" w:w="1080"/>
          </w:tcPr>
          <w:p>
            <w:r>
              <w:rPr>
                <w:rFonts w:ascii="Calibri" w:hAnsi="Calibri"/>
                <w:sz w:val="22"/>
              </w:rPr>
              <w:t>0.0%</w:t>
            </w:r>
          </w:p>
        </w:tc>
        <w:tc>
          <w:tcPr>
            <w:tcW w:type="dxa" w:w="1080"/>
          </w:tcPr>
          <w:p>
            <w:r>
              <w:rPr>
                <w:rFonts w:ascii="Calibri" w:hAnsi="Calibri"/>
                <w:sz w:val="22"/>
              </w:rPr>
              <w:t>Raised at Q1 earnings (~20% growth target)</w:t>
            </w:r>
          </w:p>
        </w:tc>
        <w:tc>
          <w:tcPr>
            <w:tcW w:type="dxa" w:w="1080"/>
          </w:tcPr>
          <w:p>
            <w:r>
              <w:rPr>
                <w:rFonts w:ascii="Calibri" w:hAnsi="Calibri"/>
                <w:sz w:val="22"/>
              </w:rPr>
              <w:t>Unchanged at Investor Day</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Transaction Revenue — Q2 2026</w:t>
            </w:r>
          </w:p>
        </w:tc>
        <w:tc>
          <w:tcPr>
            <w:tcW w:type="dxa" w:w="1080"/>
          </w:tcPr>
          <w:p>
            <w:r>
              <w:rPr>
                <w:rFonts w:ascii="Calibri" w:hAnsi="Calibri"/>
                <w:sz w:val="22"/>
              </w:rPr>
              <w:t>$228.5M</w:t>
            </w:r>
          </w:p>
        </w:tc>
        <w:tc>
          <w:tcPr>
            <w:tcW w:type="dxa" w:w="1080"/>
          </w:tcPr>
          <w:p>
            <w:r>
              <w:rPr>
                <w:rFonts w:ascii="Calibri" w:hAnsi="Calibri"/>
                <w:sz w:val="22"/>
              </w:rPr>
              <w:t>$228.5M</w:t>
            </w:r>
          </w:p>
        </w:tc>
        <w:tc>
          <w:tcPr>
            <w:tcW w:type="dxa" w:w="1080"/>
          </w:tcPr>
          <w:p>
            <w:r>
              <w:rPr>
                <w:rFonts w:ascii="Calibri" w:hAnsi="Calibri"/>
                <w:sz w:val="22"/>
              </w:rPr>
              <w:t>0.0%</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Transaction Revenue — FY 2026</w:t>
            </w:r>
          </w:p>
        </w:tc>
        <w:tc>
          <w:tcPr>
            <w:tcW w:type="dxa" w:w="1080"/>
          </w:tcPr>
          <w:p>
            <w:r>
              <w:rPr>
                <w:rFonts w:ascii="Calibri" w:hAnsi="Calibri"/>
                <w:sz w:val="22"/>
              </w:rPr>
              <w:t>$866.6M</w:t>
            </w:r>
          </w:p>
        </w:tc>
        <w:tc>
          <w:tcPr>
            <w:tcW w:type="dxa" w:w="1080"/>
          </w:tcPr>
          <w:p>
            <w:r>
              <w:rPr>
                <w:rFonts w:ascii="Calibri" w:hAnsi="Calibri"/>
                <w:sz w:val="22"/>
              </w:rPr>
              <w:t>$866.6M</w:t>
            </w:r>
          </w:p>
        </w:tc>
        <w:tc>
          <w:tcPr>
            <w:tcW w:type="dxa" w:w="1080"/>
          </w:tcPr>
          <w:p>
            <w:r>
              <w:rPr>
                <w:rFonts w:ascii="Calibri" w:hAnsi="Calibri"/>
                <w:sz w:val="22"/>
              </w:rPr>
              <w:t>0.0%</w:t>
            </w:r>
          </w:p>
        </w:tc>
        <w:tc>
          <w:tcPr>
            <w:tcW w:type="dxa" w:w="1080"/>
          </w:tcPr>
          <w:p>
            <w:r>
              <w:rPr>
                <w:rFonts w:ascii="Calibri" w:hAnsi="Calibri"/>
                <w:sz w:val="22"/>
              </w:rPr>
              <w:t>Raised at Q1 earnings (modestly higher volumes)</w:t>
            </w:r>
          </w:p>
        </w:tc>
        <w:tc>
          <w:tcPr>
            <w:tcW w:type="dxa" w:w="1080"/>
          </w:tcPr>
          <w:p>
            <w:r>
              <w:rPr>
                <w:rFonts w:ascii="Calibri" w:hAnsi="Calibri"/>
                <w:sz w:val="22"/>
              </w:rPr>
              <w:t>Unchanged at Investor Day</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Operating EPS — Q2 2026</w:t>
            </w:r>
          </w:p>
        </w:tc>
        <w:tc>
          <w:tcPr>
            <w:tcW w:type="dxa" w:w="1080"/>
          </w:tcPr>
          <w:p>
            <w:r>
              <w:rPr>
                <w:rFonts w:ascii="Calibri" w:hAnsi="Calibri"/>
                <w:sz w:val="22"/>
              </w:rPr>
              <w:t>$3.18</w:t>
            </w:r>
          </w:p>
        </w:tc>
        <w:tc>
          <w:tcPr>
            <w:tcW w:type="dxa" w:w="1080"/>
          </w:tcPr>
          <w:p>
            <w:r>
              <w:rPr>
                <w:rFonts w:ascii="Calibri" w:hAnsi="Calibri"/>
                <w:sz w:val="22"/>
              </w:rPr>
              <w:t>$3.05</w:t>
            </w:r>
          </w:p>
        </w:tc>
        <w:tc>
          <w:tcPr>
            <w:tcW w:type="dxa" w:w="1080"/>
          </w:tcPr>
          <w:p>
            <w:r>
              <w:rPr>
                <w:rFonts w:ascii="Calibri" w:hAnsi="Calibri"/>
                <w:b/>
                <w:color w:val="E5484D"/>
                <w:sz w:val="22"/>
              </w:rPr>
              <w:t>-4.1%</w:t>
            </w:r>
          </w:p>
        </w:tc>
        <w:tc>
          <w:tcPr>
            <w:tcW w:type="dxa" w:w="1080"/>
          </w:tcPr>
          <w:p>
            <w:r>
              <w:rPr>
                <w:rFonts w:ascii="Calibri" w:hAnsi="Calibri"/>
                <w:sz w:val="22"/>
              </w:rPr>
              <w:t>No specific Q2 guide</w:t>
            </w:r>
          </w:p>
        </w:tc>
        <w:tc>
          <w:tcPr>
            <w:tcW w:type="dxa" w:w="1080"/>
          </w:tcPr>
          <w:p>
            <w:r>
              <w:rPr>
                <w:rFonts w:ascii="Calibri" w:hAnsi="Calibri"/>
                <w:sz w:val="22"/>
              </w:rPr>
              <w:t>No specific Q2 guide; H2 weighted (53% of FY in H2)</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$12.65</w:t>
            </w:r>
          </w:p>
        </w:tc>
        <w:tc>
          <w:tcPr>
            <w:tcW w:type="dxa" w:w="1080"/>
          </w:tcPr>
          <w:p>
            <w:r>
              <w:rPr>
                <w:rFonts w:ascii="Calibri" w:hAnsi="Calibri"/>
                <w:sz w:val="22"/>
              </w:rPr>
              <w:t>$12.92</w:t>
            </w:r>
          </w:p>
        </w:tc>
        <w:tc>
          <w:tcPr>
            <w:tcW w:type="dxa" w:w="1080"/>
          </w:tcPr>
          <w:p>
            <w:r>
              <w:rPr>
                <w:rFonts w:ascii="Calibri" w:hAnsi="Calibri"/>
                <w:b/>
                <w:color w:val="30A46C"/>
                <w:sz w:val="22"/>
              </w:rPr>
              <w:t>+2.1%</w:t>
            </w:r>
          </w:p>
        </w:tc>
        <w:tc>
          <w:tcPr>
            <w:tcW w:type="dxa" w:w="1080"/>
          </w:tcPr>
          <w:p>
            <w:r>
              <w:rPr>
                <w:rFonts w:ascii="Calibri" w:hAnsi="Calibri"/>
                <w:sz w:val="22"/>
              </w:rPr>
              <w:t>Modest EPS contribution from FTR</w:t>
            </w:r>
          </w:p>
        </w:tc>
        <w:tc>
          <w:tcPr>
            <w:tcW w:type="dxa" w:w="1080"/>
          </w:tcPr>
          <w:p>
            <w:r>
              <w:rPr>
                <w:rFonts w:ascii="Calibri" w:hAnsi="Calibri"/>
                <w:sz w:val="22"/>
              </w:rPr>
              <w:t>Raised $0.30 at Investor Day (Jun 9); convertible note accretive</w:t>
            </w:r>
          </w:p>
        </w:tc>
        <w:tc>
          <w:tcPr>
            <w:tcW w:type="dxa" w:w="1080"/>
          </w:tcPr>
          <w:p>
            <w:r>
              <w:rPr>
                <w:rFonts w:ascii="Calibri" w:hAnsi="Calibri"/>
                <w:sz w:val="22"/>
              </w:rPr>
              <w:t>+$0.30 / +2.4%</w:t>
            </w:r>
          </w:p>
        </w:tc>
        <w:tc>
          <w:tcPr>
            <w:tcW w:type="dxa" w:w="1080"/>
          </w:tcPr>
          <w:p>
            <w:r>
              <w:rPr>
                <w:rFonts w:ascii="Calibri" w:hAnsi="Calibri"/>
                <w:sz w:val="22"/>
              </w:rPr>
              <w:t>In line</w:t>
            </w:r>
          </w:p>
        </w:tc>
      </w:tr>
      <w:tr>
        <w:tc>
          <w:tcPr>
            <w:tcW w:type="dxa" w:w="1080"/>
          </w:tcPr>
          <w:p>
            <w:r>
              <w:rPr>
                <w:rFonts w:ascii="Calibri" w:hAnsi="Calibri"/>
                <w:sz w:val="22"/>
              </w:rPr>
              <w:t>Total ARR — Q2 2026</w:t>
            </w:r>
          </w:p>
        </w:tc>
        <w:tc>
          <w:tcPr>
            <w:tcW w:type="dxa" w:w="1080"/>
          </w:tcPr>
          <w:p>
            <w:r>
              <w:rPr>
                <w:rFonts w:ascii="Calibri" w:hAnsi="Calibri"/>
                <w:sz w:val="22"/>
              </w:rPr>
              <w:t>$2,271M</w:t>
            </w:r>
          </w:p>
        </w:tc>
        <w:tc>
          <w:tcPr>
            <w:tcW w:type="dxa" w:w="1080"/>
          </w:tcPr>
          <w:p>
            <w:r>
              <w:rPr>
                <w:rFonts w:ascii="Calibri" w:hAnsi="Calibri"/>
                <w:sz w:val="22"/>
              </w:rPr>
              <w:t>$2,271M</w:t>
            </w:r>
          </w:p>
        </w:tc>
        <w:tc>
          <w:tcPr>
            <w:tcW w:type="dxa" w:w="1080"/>
          </w:tcPr>
          <w:p>
            <w:r>
              <w:rPr>
                <w:rFonts w:ascii="Calibri" w:hAnsi="Calibri"/>
                <w:sz w:val="22"/>
              </w:rPr>
              <w:t>0.0%</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ARR — FY 2026</w:t>
            </w:r>
          </w:p>
        </w:tc>
        <w:tc>
          <w:tcPr>
            <w:tcW w:type="dxa" w:w="1080"/>
          </w:tcPr>
          <w:p>
            <w:r>
              <w:rPr>
                <w:rFonts w:ascii="Calibri" w:hAnsi="Calibri"/>
                <w:sz w:val="22"/>
              </w:rPr>
              <w:t>$2,297M</w:t>
            </w:r>
          </w:p>
        </w:tc>
        <w:tc>
          <w:tcPr>
            <w:tcW w:type="dxa" w:w="1080"/>
          </w:tcPr>
          <w:p>
            <w:r>
              <w:rPr>
                <w:rFonts w:ascii="Calibri" w:hAnsi="Calibri"/>
                <w:sz w:val="22"/>
              </w:rPr>
              <w:t>$2,297M</w:t>
            </w:r>
          </w:p>
        </w:tc>
        <w:tc>
          <w:tcPr>
            <w:tcW w:type="dxa" w:w="1080"/>
          </w:tcPr>
          <w:p>
            <w:r>
              <w:rPr>
                <w:rFonts w:ascii="Calibri" w:hAnsi="Calibri"/>
                <w:sz w:val="22"/>
              </w:rPr>
              <w:t>0.0%</w:t>
            </w:r>
          </w:p>
        </w:tc>
        <w:tc>
          <w:tcPr>
            <w:tcW w:type="dxa" w:w="1080"/>
          </w:tcPr>
          <w:p>
            <w:r>
              <w:rPr>
                <w:rFonts w:ascii="Calibri" w:hAnsi="Calibri"/>
                <w:sz w:val="22"/>
              </w:rPr>
              <w:t>No specific FY ARR guide</w:t>
            </w:r>
          </w:p>
        </w:tc>
        <w:tc>
          <w:tcPr>
            <w:tcW w:type="dxa" w:w="1080"/>
          </w:tcPr>
          <w:p>
            <w:r>
              <w:rPr>
                <w:rFonts w:ascii="Calibri" w:hAnsi="Calibri"/>
                <w:sz w:val="22"/>
              </w:rPr>
              <w:t>No specific FY ARR guide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most notable revision since Q1 earnings is the FY 2026 EPS raise of $0.30 at Investor Day (June 9), driven by the accretive impact of the $1.44B convertible note offering (higher net interest income and lower share count from concurrent share repurchases). Q2 EPS consensus has actually moved slightly lower (from $3.18 to $3.05) as management guided that earnings are more back-end loaded, with ~53% of FY EPS expected in H2 — this creates a lower bar for Q2 and a higher bar for H2. Revenue and SaaS estimates are essentially unchanged since the Q1 print, tracking the raised guidance.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TYL has significantly underperformed since Q1 earnings — down ~6% vs. IGV +9% and SPY +4% — driven almost entirely by </w:t>
      </w:r>
      <w:r>
        <w:rPr>
          <w:rFonts w:ascii="Calibri" w:hAnsi="Calibri"/>
          <w:b/>
          <w:color w:val="525866"/>
          <w:sz w:val="22"/>
        </w:rPr>
        <w:t>multiple compression</w:t>
      </w:r>
      <w:r>
        <w:rPr>
          <w:rFonts w:ascii="Calibri" w:hAnsi="Calibri"/>
          <w:color w:val="525866"/>
          <w:sz w:val="22"/>
        </w:rPr>
        <w:t xml:space="preserve"> as the convertible note offering introduced near-term dilution concerns and the stock de-rated despite raised guidance; the stock is now trading near a 15-year multiple low per management, creating an asymmetric setup if Q2 execution is clean.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TYL vs. IGV (Software ETF) vs. S&amp;P 500 — Indexed to 100 at Q1 2026 Earnings (Apr 29, 2026). Source: Stock Price Data.</w:t>
      </w:r>
    </w:p>
    <w:p>
      <w:r>
        <w:rPr>
          <w:rFonts w:ascii="Calibri" w:hAnsi="Calibri"/>
          <w:color w:val="525866"/>
          <w:sz w:val="22"/>
        </w:rPr>
        <w:t>TYL opened Q2 2026 at $356 on earnings day (April 29), briefly rallied on the Q1 beat, then sold off sharply through May and June as the convertible note offering (announced May 11, priced May 12 at $1.25B, upsized to $1.44B at close on May 14) weighed on sentiment. The stock bottomed near $275 in late June before recovering to ~$333 by July 29. The underperformance vs. IGV is stark — software peers re-rated higher on AI enthusiasm while TYL de-rated on dilution concerns and near-term EPS back-loading. The Investor Day on June 9 (2030 targets raised) and the $150M 10b5-1 buyback plan (June 12) provided limited near-term support. Management characterized the stock as trading at roughly a 15-year multiple low despite the company being many times stronger, and has deployed ~$667M in buybacks year-to-date as of May 14, 2026.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$1.44B convertible note offering and concurrent share repurchase</w:t>
      </w:r>
      <w:r>
        <w:rPr>
          <w:rFonts w:ascii="Calibri" w:hAnsi="Calibri"/>
          <w:color w:val="525866"/>
          <w:sz w:val="22"/>
        </w:rPr>
        <w:t xml:space="preserve"> (May 2026), which is accretive to FY 2026 EPS but has weighed on the stock; the Investor Day (June 9) raised 2030 targets and provided the clearest articulation yet of Tyler’s AI monetization roadmap, which is the key long-term re-rating catalyst.</w:t>
      </w:r>
    </w:p>
    <w:p>
      <w:pPr>
        <w:pStyle w:val="ListBullet"/>
        <w:ind w:left="360" w:hanging="360"/>
      </w:pPr>
      <w:r>
        <w:rPr>
          <w:rFonts w:ascii="Calibri" w:hAnsi="Calibri"/>
          <w:b/>
          <w:color w:val="525866"/>
          <w:sz w:val="22"/>
        </w:rPr>
        <w:t>May 11–14, 2026 — $1.44B Convertible Note Offering Closed (0.50% due 2031):</w:t>
      </w:r>
      <w:r>
        <w:rPr>
          <w:rFonts w:ascii="Calibri" w:hAnsi="Calibri"/>
          <w:color w:val="525866"/>
          <w:sz w:val="22"/>
        </w:rPr>
        <w:t xml:space="preserve"> Tyler priced and closed an upsized $1.44B convertible note offering (initial $1.0B, upsized to $1.25B at pricing, further upsized to $1.44B at close including overallotment). Conversion price ~$405.94/share (+30% premium); capped calls raise effective conversion to ~$655.77/share (+110% premium). Net proceeds used: ~$187M for capped calls, ~$321M to repurchase 1.03M shares at ~$312/share. Remainder for general corporate purposes. Year-to-date buybacks reached ~2.1M shares / ~$667M as of May 14. </w:t>
      </w:r>
    </w:p>
    <w:p>
      <w:pPr>
        <w:pStyle w:val="ListBullet"/>
        <w:ind w:left="360" w:hanging="360"/>
      </w:pPr>
      <w:r>
        <w:rPr>
          <w:rFonts w:ascii="Calibri" w:hAnsi="Calibri"/>
          <w:b/>
          <w:color w:val="525866"/>
          <w:sz w:val="22"/>
        </w:rPr>
        <w:t>Implication:</w:t>
      </w:r>
      <w:r>
        <w:rPr>
          <w:rFonts w:ascii="Calibri" w:hAnsi="Calibri"/>
          <w:color w:val="525866"/>
          <w:sz w:val="22"/>
        </w:rPr>
        <w:t xml:space="preserve"> Accretive to FY 2026 EPS (higher net interest income + lower share count); management raised EPS guide $0.30 at Investor Day. However, the offering introduced dilution optionality and weighed on the stock near-term.</w:t>
      </w:r>
    </w:p>
    <w:p>
      <w:pPr>
        <w:pStyle w:val="ListBullet"/>
        <w:ind w:left="360" w:hanging="360"/>
      </w:pPr>
      <w:r>
        <w:rPr>
          <w:rFonts w:ascii="Calibri" w:hAnsi="Calibri"/>
          <w:b/>
          <w:color w:val="525866"/>
          <w:sz w:val="22"/>
        </w:rPr>
        <w:t>June 9, 2026 — Investor Day: 2030 Targets Raised Across the Board:</w:t>
      </w:r>
      <w:r>
        <w:rPr>
          <w:rFonts w:ascii="Calibri" w:hAnsi="Calibri"/>
          <w:color w:val="525866"/>
          <w:sz w:val="22"/>
        </w:rPr>
        <w:t xml:space="preserve"> Tyler held its 2026 Investor Day and raised all 2030 financial targets: SaaS revenue CAGR raised to ~20% (from prior high-teens); operating margin target raised to mid-30s (from 30%); FCF margin target raised to low 30s (from high 20s); FCF dollar target raised above prior $1B target. All 2025 interim targets from the 2023 Investor Day were met or exceeded. Management also articulated the "judicial intelligence" concept combining Tyler’s court case management dominance with FTR’s courtroom recording capabilities (FTR deployed in ~45% of U.S. courtrooms; SAM ~$200M expanding to ~$500M with FTR’s broader offerings; TAM potentially well above $1B). </w:t>
      </w:r>
    </w:p>
    <w:p>
      <w:pPr>
        <w:pStyle w:val="ListBullet"/>
        <w:ind w:left="360" w:hanging="360"/>
      </w:pPr>
      <w:r>
        <w:rPr>
          <w:rFonts w:ascii="Calibri" w:hAnsi="Calibri"/>
          <w:b/>
          <w:color w:val="525866"/>
          <w:sz w:val="22"/>
        </w:rPr>
        <w:t>Implication:</w:t>
      </w:r>
      <w:r>
        <w:rPr>
          <w:rFonts w:ascii="Calibri" w:hAnsi="Calibri"/>
          <w:color w:val="525866"/>
          <w:sz w:val="22"/>
        </w:rPr>
        <w:t xml:space="preserve"> Raises the long-term earnings power narrative; AI monetization (currently low-tens of millions) explicitly excluded from 2030 targets as incremental upside. Key re-rating catalyst if AI adoption accelerates.</w:t>
      </w:r>
    </w:p>
    <w:p>
      <w:pPr>
        <w:pStyle w:val="ListBullet"/>
        <w:ind w:left="360" w:hanging="360"/>
      </w:pPr>
      <w:r>
        <w:rPr>
          <w:rFonts w:ascii="Calibri" w:hAnsi="Calibri"/>
          <w:b/>
          <w:color w:val="525866"/>
          <w:sz w:val="22"/>
        </w:rPr>
        <w:t>June 9, 2026 — EPS Guidance Raised $0.30 at Investor Day:</w:t>
      </w:r>
      <w:r>
        <w:rPr>
          <w:rFonts w:ascii="Calibri" w:hAnsi="Calibri"/>
          <w:color w:val="525866"/>
          <w:sz w:val="22"/>
        </w:rPr>
        <w:t xml:space="preserve"> Both ends of FY 2026 EPS guidance raised by $0.30 to reflect the accretive impact of the convertible note offering. Management noted FY earnings are more back-end loaded, with ~53% of FY EPS expected in H2 2026. </w:t>
      </w:r>
    </w:p>
    <w:p>
      <w:pPr>
        <w:pStyle w:val="ListBullet"/>
        <w:ind w:left="360" w:hanging="360"/>
      </w:pPr>
      <w:r>
        <w:rPr>
          <w:rFonts w:ascii="Calibri" w:hAnsi="Calibri"/>
          <w:b/>
          <w:color w:val="525866"/>
          <w:sz w:val="22"/>
        </w:rPr>
        <w:t>Implication:</w:t>
      </w:r>
      <w:r>
        <w:rPr>
          <w:rFonts w:ascii="Calibri" w:hAnsi="Calibri"/>
          <w:color w:val="525866"/>
          <w:sz w:val="22"/>
        </w:rPr>
        <w:t xml:space="preserve"> Creates a lower bar for Q2 and a higher bar for Q3/Q4; watch for any commentary on H2 confidence.</w:t>
      </w:r>
    </w:p>
    <w:p>
      <w:pPr>
        <w:pStyle w:val="ListBullet"/>
        <w:ind w:left="360" w:hanging="360"/>
      </w:pPr>
      <w:r>
        <w:rPr>
          <w:rFonts w:ascii="Calibri" w:hAnsi="Calibri"/>
          <w:b/>
          <w:color w:val="525866"/>
          <w:sz w:val="22"/>
        </w:rPr>
        <w:t>June 12, 2026 — $150M 10b5-1 Buyback Plan Initiated:</w:t>
      </w:r>
      <w:r>
        <w:rPr>
          <w:rFonts w:ascii="Calibri" w:hAnsi="Calibri"/>
          <w:color w:val="525866"/>
          <w:sz w:val="22"/>
        </w:rPr>
        <w:t xml:space="preserve"> Tyler entered a Rule 10b5-1 trading plan to repurchase up to $150M of common stock, commencing June 16 and concluding July 30, 2026. As of June 12, remaining board authorization was $332.7M. </w:t>
      </w:r>
    </w:p>
    <w:p>
      <w:pPr>
        <w:pStyle w:val="ListBullet"/>
        <w:ind w:left="360" w:hanging="360"/>
      </w:pPr>
      <w:r>
        <w:rPr>
          <w:rFonts w:ascii="Calibri" w:hAnsi="Calibri"/>
          <w:b/>
          <w:color w:val="525866"/>
          <w:sz w:val="22"/>
        </w:rPr>
        <w:t>Implication:</w:t>
      </w:r>
      <w:r>
        <w:rPr>
          <w:rFonts w:ascii="Calibri" w:hAnsi="Calibri"/>
          <w:color w:val="525866"/>
          <w:sz w:val="22"/>
        </w:rPr>
        <w:t xml:space="preserve"> Signals management conviction in the stock at current levels; the plan expires July 30 (day of Q2 earnings), so buyback activity will be a topic on the call.</w:t>
      </w:r>
    </w:p>
    <w:p>
      <w:pPr>
        <w:pStyle w:val="ListBullet"/>
        <w:ind w:left="360" w:hanging="360"/>
      </w:pPr>
      <w:r>
        <w:rPr>
          <w:rFonts w:ascii="Calibri" w:hAnsi="Calibri"/>
          <w:b/>
          <w:color w:val="525866"/>
          <w:sz w:val="22"/>
        </w:rPr>
        <w:t>April 20, 2026 — For the Record (FTR) Acquisition Closed:</w:t>
      </w:r>
      <w:r>
        <w:rPr>
          <w:rFonts w:ascii="Calibri" w:hAnsi="Calibri"/>
          <w:color w:val="525866"/>
          <w:sz w:val="22"/>
        </w:rPr>
        <w:t xml:space="preserve"> Tyler completed the acquisition of For the Record, the third-largest acquisition in company history. FTR’s technology is deployed in ~45% of U.S. courtrooms. ~70% of FTR revenues are software (SaaS + maintenance); expected to add ~$30M in total revenues for FY 2026 and a modest amount to EPS. FTR’s SaaS transition expected to proceed at a rate comparable to or above Tyler’s overall pace. </w:t>
      </w:r>
    </w:p>
    <w:p>
      <w:pPr>
        <w:pStyle w:val="ListBullet"/>
        <w:ind w:left="360" w:hanging="360"/>
      </w:pPr>
      <w:r>
        <w:rPr>
          <w:rFonts w:ascii="Calibri" w:hAnsi="Calibri"/>
          <w:b/>
          <w:color w:val="525866"/>
          <w:sz w:val="22"/>
        </w:rPr>
        <w:t>Implication:</w:t>
      </w:r>
      <w:r>
        <w:rPr>
          <w:rFonts w:ascii="Calibri" w:hAnsi="Calibri"/>
          <w:color w:val="525866"/>
          <w:sz w:val="22"/>
        </w:rPr>
        <w:t xml:space="preserve"> First full quarter of FTR contribution in Q2 2026; watch for integration commentary and early SaaS transition progress.</w:t>
      </w:r>
    </w:p>
    <w:p>
      <w:pPr>
        <w:pStyle w:val="ListBullet"/>
        <w:ind w:left="360" w:hanging="360"/>
      </w:pPr>
      <w:r>
        <w:rPr>
          <w:rFonts w:ascii="Calibri" w:hAnsi="Calibri"/>
          <w:b/>
          <w:color w:val="525866"/>
          <w:sz w:val="22"/>
        </w:rPr>
        <w:t>Q1 2026 Earnings (April 29, 2026) — Key Highlights Carrying Into Q2:</w:t>
      </w:r>
      <w:r>
        <w:rPr>
          <w:rFonts w:ascii="Calibri" w:hAnsi="Calibri"/>
          <w:color w:val="525866"/>
          <w:sz w:val="22"/>
        </w:rPr>
        <w:t xml:space="preserve"> Record Q1 SaaS bookings (no large deals; broad-based volume); transaction revenue outperformed; ARR reached new high ($2.154B); FCF more than doubled YoY; convertible debt repaid at maturity; statewide digital motor vehicle titling win (&gt;$20M/year at full ramp, revenues starting 2027) structured as transaction-funded (not in SaaS bookings). </w:t>
      </w:r>
    </w:p>
    <w:p>
      <w:pPr>
        <w:pStyle w:val="ListBullet"/>
        <w:ind w:left="360" w:hanging="360"/>
      </w:pPr>
      <w:r>
        <w:rPr>
          <w:rFonts w:ascii="Calibri" w:hAnsi="Calibri"/>
          <w:b/>
          <w:color w:val="525866"/>
          <w:sz w:val="22"/>
        </w:rPr>
        <w:t>Implication:</w:t>
      </w:r>
      <w:r>
        <w:rPr>
          <w:rFonts w:ascii="Calibri" w:hAnsi="Calibri"/>
          <w:color w:val="525866"/>
          <w:sz w:val="22"/>
        </w:rPr>
        <w:t xml:space="preserve"> Sets a high bar for bookings quality in Q2; any large deal would be incremental upside; transaction revenue trajectory is the key watch item.</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The most relevant read-throughs for TYL’s Q2 2026 print come from </w:t>
      </w:r>
      <w:r>
        <w:rPr>
          <w:rFonts w:ascii="Calibri" w:hAnsi="Calibri"/>
          <w:b/>
          <w:color w:val="525866"/>
          <w:sz w:val="22"/>
        </w:rPr>
        <w:t>SAP’s Q2 2026 earnings (July 23)</w:t>
      </w:r>
      <w:r>
        <w:rPr>
          <w:rFonts w:ascii="Calibri" w:hAnsi="Calibri"/>
          <w:color w:val="525866"/>
          <w:sz w:val="22"/>
        </w:rPr>
        <w:t xml:space="preserve"> and </w:t>
      </w:r>
      <w:r>
        <w:rPr>
          <w:rFonts w:ascii="Calibri" w:hAnsi="Calibri"/>
          <w:b/>
          <w:color w:val="525866"/>
          <w:sz w:val="22"/>
        </w:rPr>
        <w:t>SAIC’s Q1 FY2027 earnings (June 1)</w:t>
      </w:r>
      <w:r>
        <w:rPr>
          <w:rFonts w:ascii="Calibri" w:hAnsi="Calibri"/>
          <w:color w:val="525866"/>
          <w:sz w:val="22"/>
        </w:rPr>
        <w:t xml:space="preserve"> — SAP confirms that cloud migration momentum and AI-driven modernization demand remain robust despite macro uncertainty, while SAIC signals that government IT spending is stabilizing at a trough with appropriations beginning to flow, both constructive for TYL’s public sector SaaS pipeline.</w:t>
      </w:r>
    </w:p>
    <w:p>
      <w:pPr>
        <w:pStyle w:val="Heading3"/>
      </w:pPr>
      <w:r>
        <w:rPr>
          <w:rFonts w:ascii="Calibri" w:hAnsi="Calibri"/>
          <w:b/>
          <w:color w:val="3B4259"/>
          <w:sz w:val="24"/>
        </w:rPr>
        <w:t>SAP SE (SAP) — Q2 2026 Earnings Call (July 23, 2026)</w:t>
      </w:r>
    </w:p>
    <w:p>
      <w:r>
        <w:rPr>
          <w:rFonts w:ascii="Calibri" w:hAnsi="Calibri"/>
          <w:b/>
          <w:color w:val="525866"/>
          <w:sz w:val="22"/>
        </w:rPr>
        <w:t>Relevance to TYL:</w:t>
      </w:r>
      <w:r>
        <w:rPr>
          <w:rFonts w:ascii="Calibri" w:hAnsi="Calibri"/>
          <w:color w:val="525866"/>
          <w:sz w:val="22"/>
        </w:rPr>
        <w:t xml:space="preserve"> SAP is the world’s largest enterprise software company and the most direct read-through on cloud migration demand, AI monetization in software, and enterprise IT spending trends. While SAP serves the private sector (vs. TYL’s public sector focus), the dynamics of on-premise-to-cloud migration, AI-driven modernization urgency, and bookings momentum are highly analogous.</w:t>
      </w:r>
    </w:p>
    <w:p>
      <w:pPr>
        <w:pStyle w:val="ListBullet"/>
        <w:ind w:left="360" w:hanging="360"/>
      </w:pPr>
      <w:r>
        <w:rPr>
          <w:rFonts w:ascii="Calibri" w:hAnsi="Calibri"/>
          <w:b/>
          <w:color w:val="525866"/>
          <w:sz w:val="22"/>
        </w:rPr>
        <w:t>Cloud migration demand remains robust despite macro uncertainty.</w:t>
      </w:r>
      <w:r>
        <w:rPr>
          <w:rFonts w:ascii="Calibri" w:hAnsi="Calibri"/>
          <w:color w:val="525866"/>
          <w:sz w:val="22"/>
        </w:rPr>
        <w:t xml:space="preserve"> SAP’s cloud revenue grew 24% YoY to €6.3B in Q2, with SaaS/PaaS growing 27% and now representing 88% of total cloud revenue. Current Cloud Backlog (CCB) — SAP’s forward bookings indicator — grew 26% to nearly €23B, accelerating from Q1 and reversing two quarters of CCB lagging cloud revenue growth. </w:t>
      </w:r>
    </w:p>
    <w:p>
      <w:pPr>
        <w:pStyle w:val="ListBullet"/>
        <w:ind w:left="360" w:hanging="360"/>
      </w:pPr>
      <w:r>
        <w:rPr>
          <w:rFonts w:ascii="Calibri" w:hAnsi="Calibri"/>
          <w:b/>
          <w:color w:val="525866"/>
          <w:sz w:val="22"/>
        </w:rPr>
        <w:t>Read-through for TYL:</w:t>
      </w:r>
      <w:r>
        <w:rPr>
          <w:rFonts w:ascii="Calibri" w:hAnsi="Calibri"/>
          <w:color w:val="525866"/>
          <w:sz w:val="22"/>
        </w:rPr>
        <w:t xml:space="preserve"> Validates that cloud migration demand is durable and accelerating, not decelerating. TYL’s SaaS bookings momentum (record Q1 without large deals) and management’s confidence in the 2027–2029 flip peak are consistent with SAP’s experience.</w:t>
      </w:r>
    </w:p>
    <w:p>
      <w:pPr>
        <w:pStyle w:val="ListBullet"/>
        <w:ind w:left="360" w:hanging="360"/>
      </w:pPr>
      <w:r>
        <w:rPr>
          <w:rFonts w:ascii="Calibri" w:hAnsi="Calibri"/>
          <w:b/>
          <w:color w:val="525866"/>
          <w:sz w:val="22"/>
        </w:rPr>
        <w:t>AI is accelerating modernization urgency, not replacing it.</w:t>
      </w:r>
      <w:r>
        <w:rPr>
          <w:rFonts w:ascii="Calibri" w:hAnsi="Calibri"/>
          <w:color w:val="525866"/>
          <w:sz w:val="22"/>
        </w:rPr>
        <w:t xml:space="preserve"> SAP’s CEO noted that customers are saying “with the current data quality, with the current complexity in my ERP landscapes, AI is going nowhere” — meaning AI is driving customers to modernize legacy systems faster, not slower. SAP’s new “Rise with SAP” offering is delivering up to 30% lower ERP migration costs and faster time to value. </w:t>
      </w:r>
    </w:p>
    <w:p>
      <w:pPr>
        <w:pStyle w:val="ListBullet"/>
        <w:ind w:left="360" w:hanging="360"/>
      </w:pPr>
      <w:r>
        <w:rPr>
          <w:rFonts w:ascii="Calibri" w:hAnsi="Calibri"/>
          <w:b/>
          <w:color w:val="525866"/>
          <w:sz w:val="22"/>
        </w:rPr>
        <w:t>Read-through for TYL:</w:t>
      </w:r>
      <w:r>
        <w:rPr>
          <w:rFonts w:ascii="Calibri" w:hAnsi="Calibri"/>
          <w:color w:val="525866"/>
          <w:sz w:val="22"/>
        </w:rPr>
        <w:t xml:space="preserve"> Directly supports TYL’s thesis that AI features (available only in the cloud) serve as an additional “stick” to accelerate on-premise-to-SaaS flips. TYL management made the same argument on the Q1 call. The AI-as-modernization-catalyst dynamic appears to be playing out across enterprise software.</w:t>
      </w:r>
    </w:p>
    <w:p>
      <w:pPr>
        <w:pStyle w:val="ListBullet"/>
        <w:ind w:left="360" w:hanging="360"/>
      </w:pPr>
      <w:r>
        <w:rPr>
          <w:rFonts w:ascii="Calibri" w:hAnsi="Calibri"/>
          <w:b/>
          <w:color w:val="525866"/>
          <w:sz w:val="22"/>
        </w:rPr>
        <w:t>Macro headwinds (Middle East conflict) are creating wider outcome ranges but not derailing the business.</w:t>
      </w:r>
      <w:r>
        <w:rPr>
          <w:rFonts w:ascii="Calibri" w:hAnsi="Calibri"/>
          <w:color w:val="525866"/>
          <w:sz w:val="22"/>
        </w:rPr>
        <w:t xml:space="preserve"> SAP maintained its full-year outlook for all top-line parameters and FCF despite acknowledging a “complex and uncertain operating environment.” CCB guidance implies slight deceleration exiting the year, but H2 is typically the strongest bookings period. </w:t>
      </w:r>
    </w:p>
    <w:p>
      <w:pPr>
        <w:pStyle w:val="ListBullet"/>
        <w:ind w:left="360" w:hanging="360"/>
      </w:pPr>
      <w:r>
        <w:rPr>
          <w:rFonts w:ascii="Calibri" w:hAnsi="Calibri"/>
          <w:b/>
          <w:color w:val="525866"/>
          <w:sz w:val="22"/>
        </w:rPr>
        <w:t>Read-through for TYL:</w:t>
      </w:r>
      <w:r>
        <w:rPr>
          <w:rFonts w:ascii="Calibri" w:hAnsi="Calibri"/>
          <w:color w:val="525866"/>
          <w:sz w:val="22"/>
        </w:rPr>
        <w:t xml:space="preserve"> TYL’s public sector customer base is structurally more insulated from macro volatility than SAP’s enterprise base. If SAP can maintain momentum despite macro headwinds, TYL’s more defensive end market should be at least as resilient.</w:t>
      </w:r>
    </w:p>
    <w:p>
      <w:pPr>
        <w:pStyle w:val="ListBullet"/>
        <w:ind w:left="360" w:hanging="360"/>
      </w:pPr>
      <w:r>
        <w:rPr>
          <w:rFonts w:ascii="Calibri" w:hAnsi="Calibri"/>
          <w:b/>
          <w:color w:val="525866"/>
          <w:sz w:val="22"/>
        </w:rPr>
        <w:t>AI monetization is outcome-based and early-stage across the industry.</w:t>
      </w:r>
      <w:r>
        <w:rPr>
          <w:rFonts w:ascii="Calibri" w:hAnsi="Calibri"/>
          <w:color w:val="525866"/>
          <w:sz w:val="22"/>
        </w:rPr>
        <w:t xml:space="preserve"> SAP is pursuing outcome-based AI pricing (“monetize via the value of our agents”), with close to 50 AI assistants and 400+ autonomous suite agents targeted by year-end. AI revenues are growing but not yet material to the P&amp;L. </w:t>
      </w:r>
    </w:p>
    <w:p>
      <w:pPr>
        <w:pStyle w:val="ListBullet"/>
        <w:ind w:left="360" w:hanging="360"/>
      </w:pPr>
      <w:r>
        <w:rPr>
          <w:rFonts w:ascii="Calibri" w:hAnsi="Calibri"/>
          <w:b/>
          <w:color w:val="525866"/>
          <w:sz w:val="22"/>
        </w:rPr>
        <w:t>Read-through for TYL:</w:t>
      </w:r>
      <w:r>
        <w:rPr>
          <w:rFonts w:ascii="Calibri" w:hAnsi="Calibri"/>
          <w:color w:val="525866"/>
          <w:sz w:val="22"/>
        </w:rPr>
        <w:t xml:space="preserve"> Consistent with TYL’s approach (fixed-fee AI SKUs priced on labor savings; AI revenues in low-tens of millions; excluded from 2030 targets as incremental upside). The industry-wide pattern of AI being a real but early-stage revenue contributor reduces the risk that TYL is behind the curve.</w:t>
      </w:r>
    </w:p>
    <w:p>
      <w:pPr>
        <w:pStyle w:val="Heading3"/>
      </w:pPr>
      <w:r>
        <w:rPr>
          <w:rFonts w:ascii="Calibri" w:hAnsi="Calibri"/>
          <w:b/>
          <w:color w:val="3B4259"/>
          <w:sz w:val="24"/>
        </w:rPr>
        <w:t>SAIC (SAIC) — Q1 FY2027 Earnings Call (June 1, 2026)</w:t>
      </w:r>
    </w:p>
    <w:p>
      <w:r>
        <w:rPr>
          <w:rFonts w:ascii="Calibri" w:hAnsi="Calibri"/>
          <w:b/>
          <w:color w:val="525866"/>
          <w:sz w:val="22"/>
        </w:rPr>
        <w:t>Relevance to TYL:</w:t>
      </w:r>
      <w:r>
        <w:rPr>
          <w:rFonts w:ascii="Calibri" w:hAnsi="Calibri"/>
          <w:color w:val="525866"/>
          <w:sz w:val="22"/>
        </w:rPr>
        <w:t xml:space="preserve"> SAIC is a large government IT services contractor serving defense, intelligence, and civilian agencies. While SAIC’s business model (services/contracts) differs from TYL’s (software/SaaS), SAIC provides the most direct read-through on U.S. government IT spending trends, budget appropriations flow, and the DOGE/federal spending environment that was a concern for TYL earlier in 2026.</w:t>
      </w:r>
    </w:p>
    <w:p>
      <w:pPr>
        <w:pStyle w:val="ListBullet"/>
        <w:ind w:left="360" w:hanging="360"/>
      </w:pPr>
      <w:r>
        <w:rPr>
          <w:rFonts w:ascii="Calibri" w:hAnsi="Calibri"/>
          <w:b/>
          <w:color w:val="525866"/>
          <w:sz w:val="22"/>
        </w:rPr>
        <w:t>Government IT spending is stabilizing at a trough, with appropriations beginning to flow.</w:t>
      </w:r>
      <w:r>
        <w:rPr>
          <w:rFonts w:ascii="Calibri" w:hAnsi="Calibri"/>
          <w:color w:val="525866"/>
          <w:sz w:val="22"/>
        </w:rPr>
        <w:t xml:space="preserve"> SAIC reported Q1 FY2027 revenue of $1.9B with organic growth of +0.5% (better than expected). Management noted that “civil funding right now is at a trough” but is “probably not going to materially deteriorate from here,” with cautious optimism for more appropriations in H2. Appropriations from last year’s legislation are “starting to flow, albeit unevenly.” </w:t>
      </w:r>
    </w:p>
    <w:p>
      <w:pPr>
        <w:pStyle w:val="ListBullet"/>
        <w:ind w:left="360" w:hanging="360"/>
      </w:pPr>
      <w:r>
        <w:rPr>
          <w:rFonts w:ascii="Calibri" w:hAnsi="Calibri"/>
          <w:b/>
          <w:color w:val="525866"/>
          <w:sz w:val="22"/>
        </w:rPr>
        <w:t>Read-through for TYL:</w:t>
      </w:r>
      <w:r>
        <w:rPr>
          <w:rFonts w:ascii="Calibri" w:hAnsi="Calibri"/>
          <w:color w:val="525866"/>
          <w:sz w:val="22"/>
        </w:rPr>
        <w:t xml:space="preserve"> TYL’s public sector customer base (primarily state and local governments, not federal) is less exposed to federal budget dynamics than SAIC. However, SAIC’s commentary that the trough is in and appropriations are flowing is a constructive signal for overall government IT spending sentiment. TYL management on the Q1 call described RFP activity as “steady” and win rates as “steady,” consistent with SAIC’s stabilization narrative.</w:t>
      </w:r>
    </w:p>
    <w:p>
      <w:pPr>
        <w:pStyle w:val="ListBullet"/>
        <w:ind w:left="360" w:hanging="360"/>
      </w:pPr>
      <w:r>
        <w:rPr>
          <w:rFonts w:ascii="Calibri" w:hAnsi="Calibri"/>
          <w:b/>
          <w:color w:val="525866"/>
          <w:sz w:val="22"/>
        </w:rPr>
        <w:t>Defense and mission-critical IT is seeing strong demand; commoditized enterprise IT is being de-emphasized.</w:t>
      </w:r>
      <w:r>
        <w:rPr>
          <w:rFonts w:ascii="Calibri" w:hAnsi="Calibri"/>
          <w:color w:val="525866"/>
          <w:sz w:val="22"/>
        </w:rPr>
        <w:t xml:space="preserve"> SAIC is actively shifting its portfolio away from commoditized enterprise IT (where “customer loyalties are more focused on price”) toward mission-critical capabilities (data fusion, battle space management, radar modernization). Qualified pipeline is ~$85B but enterprise IT is a smaller share. </w:t>
      </w:r>
    </w:p>
    <w:p>
      <w:pPr>
        <w:pStyle w:val="ListBullet"/>
        <w:ind w:left="360" w:hanging="360"/>
      </w:pPr>
      <w:r>
        <w:rPr>
          <w:rFonts w:ascii="Calibri" w:hAnsi="Calibri"/>
          <w:b/>
          <w:color w:val="525866"/>
          <w:sz w:val="22"/>
        </w:rPr>
        <w:t>Read-through for TYL:</w:t>
      </w:r>
      <w:r>
        <w:rPr>
          <w:rFonts w:ascii="Calibri" w:hAnsi="Calibri"/>
          <w:color w:val="525866"/>
          <w:sz w:val="22"/>
        </w:rPr>
        <w:t xml:space="preserve"> TYL’s mission-critical positioning (courts, public safety, property tax, ERP for government) is structurally similar to SAIC’s preferred portfolio — both are moving toward higher-value, harder-to-displace solutions. The de-emphasis of commoditized IT by government contractors is a tailwind for TYL’s differentiated SaaS platform.</w:t>
      </w:r>
    </w:p>
    <w:p>
      <w:pPr>
        <w:pStyle w:val="ListBullet"/>
        <w:ind w:left="360" w:hanging="360"/>
      </w:pPr>
      <w:r>
        <w:rPr>
          <w:rFonts w:ascii="Calibri" w:hAnsi="Calibri"/>
          <w:b/>
          <w:color w:val="525866"/>
          <w:sz w:val="22"/>
        </w:rPr>
        <w:t>AI in government is real but operationalization is the key challenge.</w:t>
      </w:r>
      <w:r>
        <w:rPr>
          <w:rFonts w:ascii="Calibri" w:hAnsi="Calibri"/>
          <w:color w:val="525866"/>
          <w:sz w:val="22"/>
        </w:rPr>
        <w:t xml:space="preserve"> SAIC is applying AI to modernize legacy code, generate operational tasking orders, and strengthen data fusion. Management noted that “the opportunity ahead isn’t about delivering an AI product — it’s about how quickly we can integrate and operationalize these capabilities in real-world missions.” </w:t>
      </w:r>
    </w:p>
    <w:p>
      <w:pPr>
        <w:pStyle w:val="ListBullet"/>
        <w:ind w:left="360" w:hanging="360"/>
      </w:pPr>
      <w:r>
        <w:rPr>
          <w:rFonts w:ascii="Calibri" w:hAnsi="Calibri"/>
          <w:b/>
          <w:color w:val="525866"/>
          <w:sz w:val="22"/>
        </w:rPr>
        <w:t>Read-through for TYL:</w:t>
      </w:r>
      <w:r>
        <w:rPr>
          <w:rFonts w:ascii="Calibri" w:hAnsi="Calibri"/>
          <w:color w:val="525866"/>
          <w:sz w:val="22"/>
        </w:rPr>
        <w:t xml:space="preserve"> Validates TYL’s approach of embedding AI into existing workflows (document automation, judicial intelligence) rather than selling standalone AI products. The government sector’s focus on operationalization over novelty plays to TYL’s domain expertise and trusted-vendor positioning.</w:t>
      </w:r>
    </w:p>
    <w:p>
      <w:pPr>
        <w:pStyle w:val="Heading3"/>
      </w:pPr>
      <w:r>
        <w:rPr>
          <w:rFonts w:ascii="Calibri" w:hAnsi="Calibri"/>
          <w:b/>
          <w:color w:val="3B4259"/>
          <w:sz w:val="24"/>
        </w:rPr>
        <w:t>Blackbaud (BLKB) — Baird Conference (June 3, 2026)</w:t>
      </w:r>
    </w:p>
    <w:p>
      <w:r>
        <w:rPr>
          <w:rFonts w:ascii="Calibri" w:hAnsi="Calibri"/>
          <w:b/>
          <w:color w:val="525866"/>
          <w:sz w:val="22"/>
        </w:rPr>
        <w:t>Relevance to TYL:</w:t>
      </w:r>
      <w:r>
        <w:rPr>
          <w:rFonts w:ascii="Calibri" w:hAnsi="Calibri"/>
          <w:color w:val="525866"/>
          <w:sz w:val="22"/>
        </w:rPr>
        <w:t xml:space="preserve"> Blackbaud is a vertical software company serving the non-profit sector — a structurally adjacent market to TYL’s public sector focus. Both companies serve mission-driven, budget-constrained organizations with sticky, multi-year SaaS contracts and a land-and-expand cross-sell model. BLKB’s commentary on AI adoption pace, transaction revenue, and customer retention is a useful read-through.</w:t>
      </w:r>
    </w:p>
    <w:p>
      <w:pPr>
        <w:pStyle w:val="ListBullet"/>
        <w:ind w:left="360" w:hanging="360"/>
      </w:pPr>
      <w:r>
        <w:rPr>
          <w:rFonts w:ascii="Calibri" w:hAnsi="Calibri"/>
          <w:b/>
          <w:color w:val="525866"/>
          <w:sz w:val="22"/>
        </w:rPr>
        <w:t>Vertical software customers adopt AI more slowly than the private sector — but are receptive.</w:t>
      </w:r>
      <w:r>
        <w:rPr>
          <w:rFonts w:ascii="Calibri" w:hAnsi="Calibri"/>
          <w:color w:val="525866"/>
          <w:sz w:val="22"/>
        </w:rPr>
        <w:t xml:space="preserve"> BLKB noted that “the pace of adoption in our market historically has not been the same as the for-profit” sector, as customers “are not technologists” and “IT functions are not staffed the same way.” However, BLKB’s fundraising development agent (launched Q4 2025, GA in late March 2026) is seeing “good early traction.” AI is “a real potential tailwind” but “not factored into the guide or the numbers.” </w:t>
      </w:r>
    </w:p>
    <w:p>
      <w:pPr>
        <w:pStyle w:val="ListBullet"/>
        <w:ind w:left="360" w:hanging="360"/>
      </w:pPr>
      <w:r>
        <w:rPr>
          <w:rFonts w:ascii="Calibri" w:hAnsi="Calibri"/>
          <w:b/>
          <w:color w:val="525866"/>
          <w:sz w:val="22"/>
        </w:rPr>
        <w:t>Read-through for TYL:</w:t>
      </w:r>
      <w:r>
        <w:rPr>
          <w:rFonts w:ascii="Calibri" w:hAnsi="Calibri"/>
          <w:color w:val="525866"/>
          <w:sz w:val="22"/>
        </w:rPr>
        <w:t xml:space="preserve"> Directly mirrors TYL management’s Q1 commentary that AI is “a tailwind, but not a big tailwind at this point” and that the public sector “generally moves a little slower than the private sector.” Both companies are in the same early-stage AI monetization phase, with AI excluded from near-term guidance but positioned as incremental upside.</w:t>
      </w:r>
    </w:p>
    <w:p>
      <w:pPr>
        <w:pStyle w:val="ListBullet"/>
        <w:ind w:left="360" w:hanging="360"/>
      </w:pPr>
      <w:r>
        <w:rPr>
          <w:rFonts w:ascii="Calibri" w:hAnsi="Calibri"/>
          <w:b/>
          <w:color w:val="525866"/>
          <w:sz w:val="22"/>
        </w:rPr>
        <w:t>Transaction revenue is a durable, faster-growing component of vertical software.</w:t>
      </w:r>
      <w:r>
        <w:rPr>
          <w:rFonts w:ascii="Calibri" w:hAnsi="Calibri"/>
          <w:color w:val="525866"/>
          <w:sz w:val="22"/>
        </w:rPr>
        <w:t xml:space="preserve"> BLKB noted that its transaction/payments business (roughly a third of revenue) grows “mid-to-high single digit 6–8% historically” — faster than core software — driven by new logos, penetration of existing base, take rate optimization, and same-store donation volume growth. </w:t>
      </w:r>
    </w:p>
    <w:p>
      <w:pPr>
        <w:pStyle w:val="ListBullet"/>
        <w:ind w:left="360" w:hanging="360"/>
      </w:pPr>
      <w:r>
        <w:rPr>
          <w:rFonts w:ascii="Calibri" w:hAnsi="Calibri"/>
          <w:b/>
          <w:color w:val="525866"/>
          <w:sz w:val="22"/>
        </w:rPr>
        <w:t>Read-through for TYL:</w:t>
      </w:r>
      <w:r>
        <w:rPr>
          <w:rFonts w:ascii="Calibri" w:hAnsi="Calibri"/>
          <w:color w:val="525866"/>
          <w:sz w:val="22"/>
        </w:rPr>
        <w:t xml:space="preserve"> Validates TYL’s transaction revenue growth thesis (low-double-digit long-term target). Both companies benefit from the same structural tailwind: digital payment penetration within a large, underpenetrated installed base. TYL’s transaction revenue outperformance in Q1 (+9% vs. consensus) is consistent with BLKB’s experience of transaction revenue outgrowing core software.</w:t>
      </w:r>
    </w:p>
    <w:p>
      <w:pPr>
        <w:pStyle w:val="ListBullet"/>
        <w:ind w:left="360" w:hanging="360"/>
      </w:pPr>
      <w:r>
        <w:rPr>
          <w:rFonts w:ascii="Calibri" w:hAnsi="Calibri"/>
          <w:b/>
          <w:color w:val="525866"/>
          <w:sz w:val="22"/>
        </w:rPr>
        <w:t>Customer retention in mission-critical vertical software is resilient even under budget pressure.</w:t>
      </w:r>
      <w:r>
        <w:rPr>
          <w:rFonts w:ascii="Calibri" w:hAnsi="Calibri"/>
          <w:color w:val="525866"/>
          <w:sz w:val="22"/>
        </w:rPr>
        <w:t xml:space="preserve"> BLKB reported gross dollar retention of ~92% despite some non-profit clients facing federal funding cuts (USAID, local charity funding). Management noted “we haven’t seen a notable change in client attrition to speak of” and that budget-constrained customers “stick with kind of what they have.” </w:t>
      </w:r>
    </w:p>
    <w:p>
      <w:pPr>
        <w:pStyle w:val="ListBullet"/>
        <w:ind w:left="360" w:hanging="360"/>
      </w:pPr>
      <w:r>
        <w:rPr>
          <w:rFonts w:ascii="Calibri" w:hAnsi="Calibri"/>
          <w:b/>
          <w:color w:val="525866"/>
          <w:sz w:val="22"/>
        </w:rPr>
        <w:t>Read-through for TYL:</w:t>
      </w:r>
      <w:r>
        <w:rPr>
          <w:rFonts w:ascii="Calibri" w:hAnsi="Calibri"/>
          <w:color w:val="525866"/>
          <w:sz w:val="22"/>
        </w:rPr>
        <w:t xml:space="preserve"> TYL’s government customers are even more structurally locked in than BLKB’s non-profits (mission-critical court, public safety, and ERP systems with no viable alternatives). The retention resilience BLKB is demonstrating under budget pressure is a positive read-through for TYL’s recurring revenue durability.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Q1 earnings — the only notable transaction is a </w:t>
      </w:r>
      <w:r>
        <w:rPr>
          <w:rFonts w:ascii="Calibri" w:hAnsi="Calibri"/>
          <w:b/>
          <w:color w:val="525866"/>
          <w:sz w:val="22"/>
        </w:rPr>
        <w:t>gift of 90 shares by CFO Brian Miller</w:t>
      </w:r>
      <w:r>
        <w:rPr>
          <w:rFonts w:ascii="Calibri" w:hAnsi="Calibri"/>
          <w:color w:val="525866"/>
          <w:sz w:val="22"/>
        </w:rPr>
        <w:t xml:space="preserve"> (June 15), which is non-economic. Director RSU vesting and share settlements in May are routine annual compensation events. The absence of insider selling despite the stock’s significant decline from $356 to ~$275 at the trough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Miller, Brian K.</w:t>
            </w:r>
          </w:p>
        </w:tc>
        <w:tc>
          <w:tcPr>
            <w:tcW w:type="dxa" w:w="1440"/>
          </w:tcPr>
          <w:p>
            <w:r>
              <w:rPr>
                <w:rFonts w:ascii="Calibri" w:hAnsi="Calibri"/>
                <w:sz w:val="22"/>
              </w:rPr>
              <w:t>EVP &amp; CFO</w:t>
            </w:r>
          </w:p>
        </w:tc>
        <w:tc>
          <w:tcPr>
            <w:tcW w:type="dxa" w:w="1440"/>
          </w:tcPr>
          <w:p>
            <w:r>
              <w:rPr>
                <w:rFonts w:ascii="Calibri" w:hAnsi="Calibri"/>
                <w:sz w:val="22"/>
              </w:rPr>
              <w:t>Gift (Disposition)</w:t>
            </w:r>
          </w:p>
        </w:tc>
        <w:tc>
          <w:tcPr>
            <w:tcW w:type="dxa" w:w="1440"/>
          </w:tcPr>
          <w:p>
            <w:r>
              <w:rPr>
                <w:rFonts w:ascii="Calibri" w:hAnsi="Calibri"/>
                <w:sz w:val="22"/>
              </w:rPr>
              <w:t>90 shares</w:t>
            </w:r>
          </w:p>
        </w:tc>
        <w:tc>
          <w:tcPr>
            <w:tcW w:type="dxa" w:w="1440"/>
          </w:tcPr>
          <w:p>
            <w:r>
              <w:rPr>
                <w:rFonts w:ascii="Calibri" w:hAnsi="Calibri"/>
                <w:sz w:val="22"/>
              </w:rPr>
              <w:t>Jun 15, 2026</w:t>
            </w:r>
          </w:p>
        </w:tc>
        <w:tc>
          <w:tcPr>
            <w:tcW w:type="dxa" w:w="1440"/>
          </w:tcPr>
          <w:p>
            <w:r>
              <w:rPr>
                <w:rFonts w:ascii="Calibri" w:hAnsi="Calibri"/>
                <w:sz w:val="22"/>
              </w:rPr>
              <w:t>Non-economic gift; not a market sale; no signal value</w:t>
            </w:r>
          </w:p>
        </w:tc>
      </w:tr>
      <w:tr>
        <w:tc>
          <w:tcPr>
            <w:tcW w:type="dxa" w:w="1440"/>
          </w:tcPr>
          <w:p>
            <w:r>
              <w:rPr>
                <w:rFonts w:ascii="Calibri" w:hAnsi="Calibri"/>
                <w:sz w:val="22"/>
              </w:rPr>
              <w:t>Puckett, Jeffrey David</w:t>
            </w:r>
          </w:p>
        </w:tc>
        <w:tc>
          <w:tcPr>
            <w:tcW w:type="dxa" w:w="1440"/>
          </w:tcPr>
          <w:p>
            <w:r>
              <w:rPr>
                <w:rFonts w:ascii="Calibri" w:hAnsi="Calibri"/>
                <w:sz w:val="22"/>
              </w:rPr>
              <w:t>Chief Operating Officer</w:t>
            </w:r>
          </w:p>
        </w:tc>
        <w:tc>
          <w:tcPr>
            <w:tcW w:type="dxa" w:w="1440"/>
          </w:tcPr>
          <w:p>
            <w:r>
              <w:rPr>
                <w:rFonts w:ascii="Calibri" w:hAnsi="Calibri"/>
                <w:sz w:val="22"/>
              </w:rPr>
              <w:t>Award (Acquisition)</w:t>
            </w:r>
          </w:p>
        </w:tc>
        <w:tc>
          <w:tcPr>
            <w:tcW w:type="dxa" w:w="1440"/>
          </w:tcPr>
          <w:p>
            <w:r>
              <w:rPr>
                <w:rFonts w:ascii="Calibri" w:hAnsi="Calibri"/>
                <w:sz w:val="22"/>
              </w:rPr>
              <w:t>15.085 shares</w:t>
            </w:r>
          </w:p>
        </w:tc>
        <w:tc>
          <w:tcPr>
            <w:tcW w:type="dxa" w:w="1440"/>
          </w:tcPr>
          <w:p>
            <w:r>
              <w:rPr>
                <w:rFonts w:ascii="Calibri" w:hAnsi="Calibri"/>
                <w:sz w:val="22"/>
              </w:rPr>
              <w:t>Jun 30, 2026</w:t>
            </w:r>
          </w:p>
        </w:tc>
        <w:tc>
          <w:tcPr>
            <w:tcW w:type="dxa" w:w="1440"/>
          </w:tcPr>
          <w:p>
            <w:r>
              <w:rPr>
                <w:rFonts w:ascii="Calibri" w:hAnsi="Calibri"/>
                <w:sz w:val="22"/>
              </w:rPr>
              <w:t>Routine compensation award; not an open-market purchase</w:t>
            </w:r>
          </w:p>
        </w:tc>
      </w:tr>
      <w:tr>
        <w:tc>
          <w:tcPr>
            <w:tcW w:type="dxa" w:w="1440"/>
          </w:tcPr>
          <w:p>
            <w:r>
              <w:rPr>
                <w:rFonts w:ascii="Calibri" w:hAnsi="Calibri"/>
                <w:sz w:val="22"/>
              </w:rPr>
              <w:t>Carter, Glenn A.</w:t>
            </w:r>
          </w:p>
        </w:tc>
        <w:tc>
          <w:tcPr>
            <w:tcW w:type="dxa" w:w="1440"/>
          </w:tcPr>
          <w:p>
            <w:r>
              <w:rPr>
                <w:rFonts w:ascii="Calibri" w:hAnsi="Calibri"/>
                <w:sz w:val="22"/>
              </w:rPr>
              <w:t>Director</w:t>
            </w:r>
          </w:p>
        </w:tc>
        <w:tc>
          <w:tcPr>
            <w:tcW w:type="dxa" w:w="1440"/>
          </w:tcPr>
          <w:p>
            <w:r>
              <w:rPr>
                <w:rFonts w:ascii="Calibri" w:hAnsi="Calibri"/>
                <w:sz w:val="22"/>
              </w:rPr>
              <w:t>RSU Vest / Share Settlement</w:t>
            </w:r>
          </w:p>
        </w:tc>
        <w:tc>
          <w:tcPr>
            <w:tcW w:type="dxa" w:w="1440"/>
          </w:tcPr>
          <w:p>
            <w:r>
              <w:rPr>
                <w:rFonts w:ascii="Calibri" w:hAnsi="Calibri"/>
                <w:sz w:val="22"/>
              </w:rPr>
              <w:t>762 RSUs granted; 452 shares received</w:t>
            </w:r>
          </w:p>
        </w:tc>
        <w:tc>
          <w:tcPr>
            <w:tcW w:type="dxa" w:w="1440"/>
          </w:tcPr>
          <w:p>
            <w:r>
              <w:rPr>
                <w:rFonts w:ascii="Calibri" w:hAnsi="Calibri"/>
                <w:sz w:val="22"/>
              </w:rPr>
              <w:t>May 5–6, 2026</w:t>
            </w:r>
          </w:p>
        </w:tc>
        <w:tc>
          <w:tcPr>
            <w:tcW w:type="dxa" w:w="1440"/>
          </w:tcPr>
          <w:p>
            <w:r>
              <w:rPr>
                <w:rFonts w:ascii="Calibri" w:hAnsi="Calibri"/>
                <w:sz w:val="22"/>
              </w:rPr>
              <w:t>Routine annual director RSU grant and settlement; not discretionary</w:t>
            </w:r>
          </w:p>
        </w:tc>
      </w:tr>
      <w:tr>
        <w:tc>
          <w:tcPr>
            <w:tcW w:type="dxa" w:w="1440"/>
          </w:tcPr>
          <w:p>
            <w:r>
              <w:rPr>
                <w:rFonts w:ascii="Calibri" w:hAnsi="Calibri"/>
                <w:sz w:val="22"/>
              </w:rPr>
              <w:t>Carter, Margot Lebenberg</w:t>
            </w:r>
          </w:p>
        </w:tc>
        <w:tc>
          <w:tcPr>
            <w:tcW w:type="dxa" w:w="1440"/>
          </w:tcPr>
          <w:p>
            <w:r>
              <w:rPr>
                <w:rFonts w:ascii="Calibri" w:hAnsi="Calibri"/>
                <w:sz w:val="22"/>
              </w:rPr>
              <w:t>Director</w:t>
            </w:r>
          </w:p>
        </w:tc>
        <w:tc>
          <w:tcPr>
            <w:tcW w:type="dxa" w:w="1440"/>
          </w:tcPr>
          <w:p>
            <w:r>
              <w:rPr>
                <w:rFonts w:ascii="Calibri" w:hAnsi="Calibri"/>
                <w:sz w:val="22"/>
              </w:rPr>
              <w:t>RSU Vest / Share Settlement</w:t>
            </w:r>
          </w:p>
        </w:tc>
        <w:tc>
          <w:tcPr>
            <w:tcW w:type="dxa" w:w="1440"/>
          </w:tcPr>
          <w:p>
            <w:r>
              <w:rPr>
                <w:rFonts w:ascii="Calibri" w:hAnsi="Calibri"/>
                <w:sz w:val="22"/>
              </w:rPr>
              <w:t>762 RSUs granted; 452 shares received</w:t>
            </w:r>
          </w:p>
        </w:tc>
        <w:tc>
          <w:tcPr>
            <w:tcW w:type="dxa" w:w="1440"/>
          </w:tcPr>
          <w:p>
            <w:r>
              <w:rPr>
                <w:rFonts w:ascii="Calibri" w:hAnsi="Calibri"/>
                <w:sz w:val="22"/>
              </w:rPr>
              <w:t>May 5–6, 2026</w:t>
            </w:r>
          </w:p>
        </w:tc>
        <w:tc>
          <w:tcPr>
            <w:tcW w:type="dxa" w:w="1440"/>
          </w:tcPr>
          <w:p>
            <w:r>
              <w:rPr>
                <w:rFonts w:ascii="Calibri" w:hAnsi="Calibri"/>
                <w:sz w:val="22"/>
              </w:rPr>
              <w:t>Routine annual director RSU grant and settlement; not discretionary</w:t>
            </w:r>
          </w:p>
        </w:tc>
      </w:tr>
      <w:tr>
        <w:tc>
          <w:tcPr>
            <w:tcW w:type="dxa" w:w="1440"/>
          </w:tcPr>
          <w:p>
            <w:r>
              <w:rPr>
                <w:rFonts w:ascii="Calibri" w:hAnsi="Calibri"/>
                <w:sz w:val="22"/>
              </w:rPr>
              <w:t>Cline, Brenda A.</w:t>
            </w:r>
          </w:p>
        </w:tc>
        <w:tc>
          <w:tcPr>
            <w:tcW w:type="dxa" w:w="1440"/>
          </w:tcPr>
          <w:p>
            <w:r>
              <w:rPr>
                <w:rFonts w:ascii="Calibri" w:hAnsi="Calibri"/>
                <w:sz w:val="22"/>
              </w:rPr>
              <w:t>Director</w:t>
            </w:r>
          </w:p>
        </w:tc>
        <w:tc>
          <w:tcPr>
            <w:tcW w:type="dxa" w:w="1440"/>
          </w:tcPr>
          <w:p>
            <w:r>
              <w:rPr>
                <w:rFonts w:ascii="Calibri" w:hAnsi="Calibri"/>
                <w:sz w:val="22"/>
              </w:rPr>
              <w:t>RSU Vest / Share Settlement</w:t>
            </w:r>
          </w:p>
        </w:tc>
        <w:tc>
          <w:tcPr>
            <w:tcW w:type="dxa" w:w="1440"/>
          </w:tcPr>
          <w:p>
            <w:r>
              <w:rPr>
                <w:rFonts w:ascii="Calibri" w:hAnsi="Calibri"/>
                <w:sz w:val="22"/>
              </w:rPr>
              <w:t>762 RSUs granted; 452 shares received</w:t>
            </w:r>
          </w:p>
        </w:tc>
        <w:tc>
          <w:tcPr>
            <w:tcW w:type="dxa" w:w="1440"/>
          </w:tcPr>
          <w:p>
            <w:r>
              <w:rPr>
                <w:rFonts w:ascii="Calibri" w:hAnsi="Calibri"/>
                <w:sz w:val="22"/>
              </w:rPr>
              <w:t>May 5–6, 2026</w:t>
            </w:r>
          </w:p>
        </w:tc>
        <w:tc>
          <w:tcPr>
            <w:tcW w:type="dxa" w:w="1440"/>
          </w:tcPr>
          <w:p>
            <w:r>
              <w:rPr>
                <w:rFonts w:ascii="Calibri" w:hAnsi="Calibri"/>
                <w:sz w:val="22"/>
              </w:rPr>
              <w:t>Routine annual director RSU grant and settlement; not discretionary</w:t>
            </w:r>
          </w:p>
        </w:tc>
      </w:tr>
      <w:tr>
        <w:tc>
          <w:tcPr>
            <w:tcW w:type="dxa" w:w="1440"/>
          </w:tcPr>
          <w:p>
            <w:r>
              <w:rPr>
                <w:rFonts w:ascii="Calibri" w:hAnsi="Calibri"/>
                <w:sz w:val="22"/>
              </w:rPr>
              <w:t>Hawkins, Ronnie D. Jr.</w:t>
            </w:r>
          </w:p>
        </w:tc>
        <w:tc>
          <w:tcPr>
            <w:tcW w:type="dxa" w:w="1440"/>
          </w:tcPr>
          <w:p>
            <w:r>
              <w:rPr>
                <w:rFonts w:ascii="Calibri" w:hAnsi="Calibri"/>
                <w:sz w:val="22"/>
              </w:rPr>
              <w:t>Director</w:t>
            </w:r>
          </w:p>
        </w:tc>
        <w:tc>
          <w:tcPr>
            <w:tcW w:type="dxa" w:w="1440"/>
          </w:tcPr>
          <w:p>
            <w:r>
              <w:rPr>
                <w:rFonts w:ascii="Calibri" w:hAnsi="Calibri"/>
                <w:sz w:val="22"/>
              </w:rPr>
              <w:t>RSU Vest / Share Settlement</w:t>
            </w:r>
          </w:p>
        </w:tc>
        <w:tc>
          <w:tcPr>
            <w:tcW w:type="dxa" w:w="1440"/>
          </w:tcPr>
          <w:p>
            <w:r>
              <w:rPr>
                <w:rFonts w:ascii="Calibri" w:hAnsi="Calibri"/>
                <w:sz w:val="22"/>
              </w:rPr>
              <w:t>762 RSUs granted; 452 shares received</w:t>
            </w:r>
          </w:p>
        </w:tc>
        <w:tc>
          <w:tcPr>
            <w:tcW w:type="dxa" w:w="1440"/>
          </w:tcPr>
          <w:p>
            <w:r>
              <w:rPr>
                <w:rFonts w:ascii="Calibri" w:hAnsi="Calibri"/>
                <w:sz w:val="22"/>
              </w:rPr>
              <w:t>May 5–6, 2026</w:t>
            </w:r>
          </w:p>
        </w:tc>
        <w:tc>
          <w:tcPr>
            <w:tcW w:type="dxa" w:w="1440"/>
          </w:tcPr>
          <w:p>
            <w:r>
              <w:rPr>
                <w:rFonts w:ascii="Calibri" w:hAnsi="Calibri"/>
                <w:sz w:val="22"/>
              </w:rPr>
              <w:t>Routine annual director RSU grant and settlement; not discretionary</w:t>
            </w:r>
          </w:p>
        </w:tc>
      </w:tr>
      <w:tr>
        <w:tc>
          <w:tcPr>
            <w:tcW w:type="dxa" w:w="1440"/>
          </w:tcPr>
          <w:p>
            <w:r>
              <w:rPr>
                <w:rFonts w:ascii="Calibri" w:hAnsi="Calibri"/>
                <w:sz w:val="22"/>
              </w:rPr>
              <w:t>Pope, Daniel M.</w:t>
            </w:r>
          </w:p>
        </w:tc>
        <w:tc>
          <w:tcPr>
            <w:tcW w:type="dxa" w:w="1440"/>
          </w:tcPr>
          <w:p>
            <w:r>
              <w:rPr>
                <w:rFonts w:ascii="Calibri" w:hAnsi="Calibri"/>
                <w:sz w:val="22"/>
              </w:rPr>
              <w:t>Director</w:t>
            </w:r>
          </w:p>
        </w:tc>
        <w:tc>
          <w:tcPr>
            <w:tcW w:type="dxa" w:w="1440"/>
          </w:tcPr>
          <w:p>
            <w:r>
              <w:rPr>
                <w:rFonts w:ascii="Calibri" w:hAnsi="Calibri"/>
                <w:sz w:val="22"/>
              </w:rPr>
              <w:t>RSU Vest / Share Settlement</w:t>
            </w:r>
          </w:p>
        </w:tc>
        <w:tc>
          <w:tcPr>
            <w:tcW w:type="dxa" w:w="1440"/>
          </w:tcPr>
          <w:p>
            <w:r>
              <w:rPr>
                <w:rFonts w:ascii="Calibri" w:hAnsi="Calibri"/>
                <w:sz w:val="22"/>
              </w:rPr>
              <w:t>762 RSUs granted; 452 shares received</w:t>
            </w:r>
          </w:p>
        </w:tc>
        <w:tc>
          <w:tcPr>
            <w:tcW w:type="dxa" w:w="1440"/>
          </w:tcPr>
          <w:p>
            <w:r>
              <w:rPr>
                <w:rFonts w:ascii="Calibri" w:hAnsi="Calibri"/>
                <w:sz w:val="22"/>
              </w:rPr>
              <w:t>May 5–6, 2026</w:t>
            </w:r>
          </w:p>
        </w:tc>
        <w:tc>
          <w:tcPr>
            <w:tcW w:type="dxa" w:w="1440"/>
          </w:tcPr>
          <w:p>
            <w:r>
              <w:rPr>
                <w:rFonts w:ascii="Calibri" w:hAnsi="Calibri"/>
                <w:sz w:val="22"/>
              </w:rPr>
              <w:t>Routine annual director RSU grant and settlement; not discretionary</w:t>
            </w:r>
          </w:p>
        </w:tc>
      </w:tr>
      <w:tr>
        <w:tc>
          <w:tcPr>
            <w:tcW w:type="dxa" w:w="1440"/>
          </w:tcPr>
          <w:p>
            <w:r>
              <w:rPr>
                <w:rFonts w:ascii="Calibri" w:hAnsi="Calibri"/>
                <w:sz w:val="22"/>
              </w:rPr>
              <w:t>Teed, Andrew D.</w:t>
            </w:r>
          </w:p>
        </w:tc>
        <w:tc>
          <w:tcPr>
            <w:tcW w:type="dxa" w:w="1440"/>
          </w:tcPr>
          <w:p>
            <w:r>
              <w:rPr>
                <w:rFonts w:ascii="Calibri" w:hAnsi="Calibri"/>
                <w:sz w:val="22"/>
              </w:rPr>
              <w:t>Director</w:t>
            </w:r>
          </w:p>
        </w:tc>
        <w:tc>
          <w:tcPr>
            <w:tcW w:type="dxa" w:w="1440"/>
          </w:tcPr>
          <w:p>
            <w:r>
              <w:rPr>
                <w:rFonts w:ascii="Calibri" w:hAnsi="Calibri"/>
                <w:sz w:val="22"/>
              </w:rPr>
              <w:t>RSU Vest / Share Settlement</w:t>
            </w:r>
          </w:p>
        </w:tc>
        <w:tc>
          <w:tcPr>
            <w:tcW w:type="dxa" w:w="1440"/>
          </w:tcPr>
          <w:p>
            <w:r>
              <w:rPr>
                <w:rFonts w:ascii="Calibri" w:hAnsi="Calibri"/>
                <w:sz w:val="22"/>
              </w:rPr>
              <w:t>762 RSUs granted; 452 shares received</w:t>
            </w:r>
          </w:p>
        </w:tc>
        <w:tc>
          <w:tcPr>
            <w:tcW w:type="dxa" w:w="1440"/>
          </w:tcPr>
          <w:p>
            <w:r>
              <w:rPr>
                <w:rFonts w:ascii="Calibri" w:hAnsi="Calibri"/>
                <w:sz w:val="22"/>
              </w:rPr>
              <w:t>May 5–6, 2026</w:t>
            </w:r>
          </w:p>
        </w:tc>
        <w:tc>
          <w:tcPr>
            <w:tcW w:type="dxa" w:w="1440"/>
          </w:tcPr>
          <w:p>
            <w:r>
              <w:rPr>
                <w:rFonts w:ascii="Calibri" w:hAnsi="Calibri"/>
                <w:sz w:val="22"/>
              </w:rPr>
              <w:t>Routine annual director RSU grant and settlement; not discretionary</w:t>
            </w:r>
          </w:p>
        </w:tc>
      </w:tr>
    </w:tbl>
    <w:p>
      <w:r>
        <w:rPr>
          <w:rFonts w:ascii="Calibri" w:hAnsi="Calibri"/>
          <w:i/>
          <w:color w:val="525866"/>
          <w:sz w:val="22"/>
        </w:rPr>
        <w:t xml:space="preserve">Source: SEC Form 4 filings (Insider Transaction Data). Open-market buys (code P) and open-market sells (code S) only: </w:t>
      </w:r>
      <w:r>
        <w:rPr>
          <w:rFonts w:ascii="Calibri" w:hAnsi="Calibri"/>
          <w:b/>
          <w:i/>
          <w:color w:val="525866"/>
          <w:sz w:val="22"/>
        </w:rPr>
        <w:t>none filed since Q1 2026 earnings.</w:t>
      </w:r>
      <w:r>
        <w:rPr>
          <w:rFonts w:ascii="Calibri" w:hAnsi="Calibri"/>
          <w:i/>
          <w:color w:val="525866"/>
          <w:sz w:val="22"/>
        </w:rPr>
        <w:t xml:space="preserve"> All transactions above are compensation-related (RSU grants, vesting, gifts) and carry no directional signal. The company itself has been the most active buyer of TYL shares, repurchasing ~2.1M shares / ~$667M year-to-date through May 14, 2026, and initiating a $150M 10b5-1 plan on June 12, 2026 (expiring July 30, 2026).</w:t>
      </w:r>
    </w:p>
    <w:p>
      <w:r>
        <w:rPr>
          <w:rFonts w:ascii="Calibri" w:hAnsi="Calibri"/>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