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Tyler Technologies (TYL)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Tyler Technologies, Inc.</w:t>
            </w:r>
          </w:p>
        </w:tc>
      </w:tr>
      <w:tr>
        <w:tc>
          <w:tcPr>
            <w:tcW w:type="dxa" w:w="4320"/>
          </w:tcPr>
          <w:p>
            <w:r>
              <w:rPr>
                <w:rFonts w:ascii="Calibri" w:hAnsi="Calibri"/>
                <w:b/>
                <w:sz w:val="22"/>
              </w:rPr>
              <w:t>Ticker</w:t>
            </w:r>
          </w:p>
        </w:tc>
        <w:tc>
          <w:tcPr>
            <w:tcW w:type="dxa" w:w="4320"/>
          </w:tcPr>
          <w:p>
            <w:r>
              <w:rPr>
                <w:rFonts w:ascii="Calibri" w:hAnsi="Calibri"/>
                <w:sz w:val="22"/>
              </w:rPr>
              <w:t>TYL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After market close, July 29, 2026</w:t>
            </w:r>
          </w:p>
        </w:tc>
      </w:tr>
      <w:tr>
        <w:tc>
          <w:tcPr>
            <w:tcW w:type="dxa" w:w="4320"/>
          </w:tcPr>
          <w:p>
            <w:r>
              <w:rPr>
                <w:rFonts w:ascii="Calibri" w:hAnsi="Calibri"/>
                <w:b/>
                <w:sz w:val="22"/>
              </w:rPr>
              <w:t>Conference Call</w:t>
            </w:r>
          </w:p>
        </w:tc>
        <w:tc>
          <w:tcPr>
            <w:tcW w:type="dxa" w:w="4320"/>
          </w:tcPr>
          <w:p>
            <w:r>
              <w:rPr>
                <w:rFonts w:ascii="Calibri" w:hAnsi="Calibri"/>
                <w:sz w:val="22"/>
              </w:rPr>
              <w:t>July 30, 2026 at 8:30 a.m. ET</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iShares Expanded Tech-Software ETF (IGV)</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is a manageable bar after a quarter of estimate drift lower, and the biggest swing factor is whether </w:t>
      </w:r>
      <w:r>
        <w:rPr>
          <w:rFonts w:ascii="Calibri" w:hAnsi="Calibri"/>
          <w:b/>
          <w:color w:val="525866"/>
          <w:sz w:val="22"/>
        </w:rPr>
        <w:t>SaaS revenue growth sustains its 20%-plus streak</w:t>
      </w:r>
      <w:r>
        <w:rPr>
          <w:rFonts w:ascii="Calibri" w:hAnsi="Calibri"/>
          <w:color w:val="525866"/>
          <w:sz w:val="22"/>
        </w:rPr>
        <w:t xml:space="preserve"> (now 21 consecutive quarters) while transaction revenue holds above the Texas-headwind-adjusted baseline.</w:t>
      </w:r>
    </w:p>
    <w:p>
      <w:r>
        <w:rPr>
          <w:rFonts w:ascii="Calibri" w:hAnsi="Calibri"/>
          <w:color w:val="525866"/>
          <w:sz w:val="22"/>
        </w:rPr>
        <w:t xml:space="preserve">Heading into Q2 2026, Tyler's consensus bar has drifted lower since Q1 earnings — non-GAAP EPS estimates have slipped from ~$3.18 (as of May 6) to ~$3.05 today, and total revenue consensus is essentially flat at ~$647.9M vs. the $648.6M baseline, suggesting the street has modestly de-risked the print. Management's posture has shifted decisively more confident since Q1: the June 9 Investor Day raised FY2026 non-GAAP EPS guidance by $0.30 on both ends (reflecting the May convertible note offering and share repurchase), updated 2030 targets upward across every metric, and management characterized the stock as trading at a ~15-year multiple low despite the company being "many times stronger." Estimate revisions are broadly tracking guidance — SaaS and ARR consensus are unchanged since the Q1 print, while EPS has drifted slightly lower, likely reflecting FTR integration costs and elevated R&amp;D spend, not a demand concern. The stock has underperformed significantly since Q1 earnings (down ~6% vs. IGV up ~9% and SPY up ~4%), driven almost entirely by multiple compression rather than estimate cuts, which creates an asymmetric setup if the print is clean. The key wildcard is </w:t>
      </w:r>
      <w:r>
        <w:rPr>
          <w:rFonts w:ascii="Calibri" w:hAnsi="Calibri"/>
          <w:b/>
          <w:color w:val="525866"/>
          <w:sz w:val="22"/>
        </w:rPr>
        <w:t>transaction revenue</w:t>
      </w:r>
      <w:r>
        <w:rPr>
          <w:rFonts w:ascii="Calibri" w:hAnsi="Calibri"/>
          <w:color w:val="525866"/>
          <w:sz w:val="22"/>
        </w:rPr>
        <w:t>: Q1 outperformed on transactions, and any continuation of that momentum — particularly early ramp signals from the statewide digital motor vehicle titling deal — could be the incremental positive that re-rates the stock, while any softness would confirm the bear case that the Texas contract roll-off is masking broader deceleration.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estimates have drifted modestly lower since Q1 earnings, leaving room for a clean beat. </w:t>
      </w:r>
      <w:r>
        <w:rPr>
          <w:rFonts w:ascii="Calibri" w:hAnsi="Calibri"/>
          <w:b/>
          <w:color w:val="525866"/>
          <w:sz w:val="22"/>
        </w:rPr>
        <w:t>SaaS revenue growth</w:t>
      </w:r>
      <w:r>
        <w:rPr>
          <w:rFonts w:ascii="Calibri" w:hAnsi="Calibri"/>
          <w:color w:val="525866"/>
          <w:sz w:val="22"/>
        </w:rPr>
        <w:t xml:space="preserve"> is the bigger swing factor: sustaining 20%-plus growth for a 22nd consecutive quarter would be the headline positive, while any deceleration would dominate the narrative regardless of EPS.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FY2026 Guidance (as of June 9)</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$613.5M</w:t>
            </w:r>
          </w:p>
        </w:tc>
        <w:tc>
          <w:tcPr>
            <w:tcW w:type="dxa" w:w="1234"/>
          </w:tcPr>
          <w:p>
            <w:r>
              <w:rPr>
                <w:rFonts w:ascii="Calibri" w:hAnsi="Calibri"/>
                <w:sz w:val="22"/>
              </w:rPr>
              <w:t>$596.1M</w:t>
            </w:r>
          </w:p>
        </w:tc>
        <w:tc>
          <w:tcPr>
            <w:tcW w:type="dxa" w:w="1234"/>
          </w:tcPr>
          <w:p>
            <w:r>
              <w:rPr>
                <w:rFonts w:ascii="Calibri" w:hAnsi="Calibri"/>
                <w:sz w:val="22"/>
              </w:rPr>
              <w:t>$647.9M</w:t>
            </w:r>
          </w:p>
        </w:tc>
        <w:tc>
          <w:tcPr>
            <w:tcW w:type="dxa" w:w="1234"/>
          </w:tcPr>
          <w:p>
            <w:r>
              <w:rPr>
                <w:rFonts w:ascii="Calibri" w:hAnsi="Calibri"/>
                <w:sz w:val="22"/>
              </w:rPr>
              <w:t>+8.7%</w:t>
            </w:r>
          </w:p>
        </w:tc>
        <w:tc>
          <w:tcPr>
            <w:tcW w:type="dxa" w:w="1234"/>
          </w:tcPr>
          <w:p>
            <w:r>
              <w:rPr>
                <w:rFonts w:ascii="Calibri" w:hAnsi="Calibri"/>
                <w:sz w:val="22"/>
              </w:rPr>
              <w:t>$2,535M–$2,575M ($2,555M mid)</w:t>
            </w:r>
          </w:p>
        </w:tc>
        <w:tc>
          <w:tcPr>
            <w:tcW w:type="dxa" w:w="1234"/>
          </w:tcPr>
          <w:p>
            <w:r>
              <w:rPr>
                <w:rFonts w:ascii="Calibri" w:hAnsi="Calibri"/>
                <w:sz w:val="22"/>
              </w:rPr>
              <w:t>~0.0% (in line)</w:t>
            </w:r>
          </w:p>
        </w:tc>
      </w:tr>
      <w:tr>
        <w:tc>
          <w:tcPr>
            <w:tcW w:type="dxa" w:w="1234"/>
          </w:tcPr>
          <w:p>
            <w:r>
              <w:rPr>
                <w:rFonts w:ascii="Calibri" w:hAnsi="Calibri"/>
                <w:sz w:val="22"/>
              </w:rPr>
              <w:t>SaaS Revenue ($M)</w:t>
            </w:r>
          </w:p>
        </w:tc>
        <w:tc>
          <w:tcPr>
            <w:tcW w:type="dxa" w:w="1234"/>
          </w:tcPr>
          <w:p>
            <w:r>
              <w:rPr>
                <w:rFonts w:ascii="Calibri" w:hAnsi="Calibri"/>
                <w:sz w:val="22"/>
              </w:rPr>
              <w:t>$222.4M</w:t>
            </w:r>
          </w:p>
        </w:tc>
        <w:tc>
          <w:tcPr>
            <w:tcW w:type="dxa" w:w="1234"/>
          </w:tcPr>
          <w:p>
            <w:r>
              <w:rPr>
                <w:rFonts w:ascii="Calibri" w:hAnsi="Calibri"/>
                <w:sz w:val="22"/>
              </w:rPr>
              <w:t>$189.6M</w:t>
            </w:r>
          </w:p>
        </w:tc>
        <w:tc>
          <w:tcPr>
            <w:tcW w:type="dxa" w:w="1234"/>
          </w:tcPr>
          <w:p>
            <w:r>
              <w:rPr>
                <w:rFonts w:ascii="Calibri" w:hAnsi="Calibri"/>
                <w:sz w:val="22"/>
              </w:rPr>
              <w:t>$232.8M</w:t>
            </w:r>
          </w:p>
        </w:tc>
        <w:tc>
          <w:tcPr>
            <w:tcW w:type="dxa" w:w="1234"/>
          </w:tcPr>
          <w:p>
            <w:r>
              <w:rPr>
                <w:rFonts w:ascii="Calibri" w:hAnsi="Calibri"/>
                <w:sz w:val="22"/>
              </w:rPr>
              <w:t>+22.8%</w:t>
            </w:r>
          </w:p>
        </w:tc>
        <w:tc>
          <w:tcPr>
            <w:tcW w:type="dxa" w:w="1234"/>
          </w:tcPr>
          <w:p>
            <w:r>
              <w:rPr>
                <w:rFonts w:ascii="Calibri" w:hAnsi="Calibri"/>
                <w:sz w:val="22"/>
              </w:rPr>
              <w:t>~$955.3M FY (implied ~20% CAGR)</w:t>
            </w:r>
          </w:p>
        </w:tc>
        <w:tc>
          <w:tcPr>
            <w:tcW w:type="dxa" w:w="1234"/>
          </w:tcPr>
          <w:p>
            <w:r>
              <w:rPr>
                <w:rFonts w:ascii="Calibri" w:hAnsi="Calibri"/>
                <w:sz w:val="22"/>
              </w:rPr>
              <w:t>In line with FY run-rate</w:t>
            </w:r>
          </w:p>
        </w:tc>
      </w:tr>
      <w:tr>
        <w:tc>
          <w:tcPr>
            <w:tcW w:type="dxa" w:w="1234"/>
          </w:tcPr>
          <w:p>
            <w:r>
              <w:rPr>
                <w:rFonts w:ascii="Calibri" w:hAnsi="Calibri"/>
                <w:sz w:val="22"/>
              </w:rPr>
              <w:t>Transaction Revenue ($M)</w:t>
            </w:r>
          </w:p>
        </w:tc>
        <w:tc>
          <w:tcPr>
            <w:tcW w:type="dxa" w:w="1234"/>
          </w:tcPr>
          <w:p>
            <w:r>
              <w:rPr>
                <w:rFonts w:ascii="Calibri" w:hAnsi="Calibri"/>
                <w:sz w:val="22"/>
              </w:rPr>
              <w:t>$207.4M</w:t>
            </w:r>
          </w:p>
        </w:tc>
        <w:tc>
          <w:tcPr>
            <w:tcW w:type="dxa" w:w="1234"/>
          </w:tcPr>
          <w:p>
            <w:r>
              <w:rPr>
                <w:rFonts w:ascii="Calibri" w:hAnsi="Calibri"/>
                <w:sz w:val="22"/>
              </w:rPr>
              <w:t>$215.5M</w:t>
            </w:r>
          </w:p>
        </w:tc>
        <w:tc>
          <w:tcPr>
            <w:tcW w:type="dxa" w:w="1234"/>
          </w:tcPr>
          <w:p>
            <w:r>
              <w:rPr>
                <w:rFonts w:ascii="Calibri" w:hAnsi="Calibri"/>
                <w:sz w:val="22"/>
              </w:rPr>
              <w:t>$228.5M</w:t>
            </w:r>
          </w:p>
        </w:tc>
        <w:tc>
          <w:tcPr>
            <w:tcW w:type="dxa" w:w="1234"/>
          </w:tcPr>
          <w:p>
            <w:r>
              <w:rPr>
                <w:rFonts w:ascii="Calibri" w:hAnsi="Calibri"/>
                <w:sz w:val="22"/>
              </w:rPr>
              <w:t>+6.0%</w:t>
            </w:r>
          </w:p>
        </w:tc>
        <w:tc>
          <w:tcPr>
            <w:tcW w:type="dxa" w:w="1234"/>
          </w:tcPr>
          <w:p>
            <w:r>
              <w:rPr>
                <w:rFonts w:ascii="Calibri" w:hAnsi="Calibri"/>
                <w:sz w:val="22"/>
              </w:rPr>
              <w:t>~$866.6M FY (low double-digit ex-Texas)</w:t>
            </w:r>
          </w:p>
        </w:tc>
        <w:tc>
          <w:tcPr>
            <w:tcW w:type="dxa" w:w="1234"/>
          </w:tcPr>
          <w:p>
            <w:r>
              <w:rPr>
                <w:rFonts w:ascii="Calibri" w:hAnsi="Calibri"/>
                <w:sz w:val="22"/>
              </w:rPr>
              <w:t>In line with FY run-rate</w:t>
            </w:r>
          </w:p>
        </w:tc>
      </w:tr>
      <w:tr>
        <w:tc>
          <w:tcPr>
            <w:tcW w:type="dxa" w:w="1234"/>
          </w:tcPr>
          <w:p>
            <w:r>
              <w:rPr>
                <w:rFonts w:ascii="Calibri" w:hAnsi="Calibri"/>
                <w:sz w:val="22"/>
              </w:rPr>
              <w:t>Total ARR ($B)</w:t>
            </w:r>
          </w:p>
        </w:tc>
        <w:tc>
          <w:tcPr>
            <w:tcW w:type="dxa" w:w="1234"/>
          </w:tcPr>
          <w:p>
            <w:r>
              <w:rPr>
                <w:rFonts w:ascii="Calibri" w:hAnsi="Calibri"/>
                <w:sz w:val="22"/>
              </w:rPr>
              <w:t>$2.154B</w:t>
            </w:r>
          </w:p>
        </w:tc>
        <w:tc>
          <w:tcPr>
            <w:tcW w:type="dxa" w:w="1234"/>
          </w:tcPr>
          <w:p>
            <w:r>
              <w:rPr>
                <w:rFonts w:ascii="Calibri" w:hAnsi="Calibri"/>
                <w:sz w:val="22"/>
              </w:rPr>
              <w:t>$2.069B</w:t>
            </w:r>
          </w:p>
        </w:tc>
        <w:tc>
          <w:tcPr>
            <w:tcW w:type="dxa" w:w="1234"/>
          </w:tcPr>
          <w:p>
            <w:r>
              <w:rPr>
                <w:rFonts w:ascii="Calibri" w:hAnsi="Calibri"/>
                <w:sz w:val="22"/>
              </w:rPr>
              <w:t>$2.271B</w:t>
            </w:r>
          </w:p>
        </w:tc>
        <w:tc>
          <w:tcPr>
            <w:tcW w:type="dxa" w:w="1234"/>
          </w:tcPr>
          <w:p>
            <w:r>
              <w:rPr>
                <w:rFonts w:ascii="Calibri" w:hAnsi="Calibri"/>
                <w:sz w:val="22"/>
              </w:rPr>
              <w:t>+9.8%</w:t>
            </w:r>
          </w:p>
        </w:tc>
        <w:tc>
          <w:tcPr>
            <w:tcW w:type="dxa" w:w="1234"/>
          </w:tcPr>
          <w:p>
            <w:r>
              <w:rPr>
                <w:rFonts w:ascii="Calibri" w:hAnsi="Calibri"/>
                <w:sz w:val="22"/>
              </w:rPr>
              <w:t>$2.297B FY target</w:t>
            </w:r>
          </w:p>
        </w:tc>
        <w:tc>
          <w:tcPr>
            <w:tcW w:type="dxa" w:w="1234"/>
          </w:tcPr>
          <w:p>
            <w:r>
              <w:rPr>
                <w:rFonts w:ascii="Calibri" w:hAnsi="Calibri"/>
                <w:sz w:val="22"/>
              </w:rPr>
              <w:t>-1.1% below FY target</w:t>
            </w:r>
          </w:p>
        </w:tc>
      </w:tr>
      <w:tr>
        <w:tc>
          <w:tcPr>
            <w:tcW w:type="dxa" w:w="1234"/>
          </w:tcPr>
          <w:p>
            <w:r>
              <w:rPr>
                <w:rFonts w:ascii="Calibri" w:hAnsi="Calibri"/>
                <w:sz w:val="22"/>
              </w:rPr>
              <w:t>Non-GAAP Diluted EPS</w:t>
            </w:r>
          </w:p>
        </w:tc>
        <w:tc>
          <w:tcPr>
            <w:tcW w:type="dxa" w:w="1234"/>
          </w:tcPr>
          <w:p>
            <w:r>
              <w:rPr>
                <w:rFonts w:ascii="Calibri" w:hAnsi="Calibri"/>
                <w:sz w:val="22"/>
              </w:rPr>
              <w:t>$3.09</w:t>
            </w:r>
          </w:p>
        </w:tc>
        <w:tc>
          <w:tcPr>
            <w:tcW w:type="dxa" w:w="1234"/>
          </w:tcPr>
          <w:p>
            <w:r>
              <w:rPr>
                <w:rFonts w:ascii="Calibri" w:hAnsi="Calibri"/>
                <w:sz w:val="22"/>
              </w:rPr>
              <w:t>$2.91</w:t>
            </w:r>
          </w:p>
        </w:tc>
        <w:tc>
          <w:tcPr>
            <w:tcW w:type="dxa" w:w="1234"/>
          </w:tcPr>
          <w:p>
            <w:r>
              <w:rPr>
                <w:rFonts w:ascii="Calibri" w:hAnsi="Calibri"/>
                <w:sz w:val="22"/>
              </w:rPr>
              <w:t>$3.05</w:t>
            </w:r>
          </w:p>
        </w:tc>
        <w:tc>
          <w:tcPr>
            <w:tcW w:type="dxa" w:w="1234"/>
          </w:tcPr>
          <w:p>
            <w:r>
              <w:rPr>
                <w:rFonts w:ascii="Calibri" w:hAnsi="Calibri"/>
                <w:sz w:val="22"/>
              </w:rPr>
              <w:t>+4.8%</w:t>
            </w:r>
          </w:p>
        </w:tc>
        <w:tc>
          <w:tcPr>
            <w:tcW w:type="dxa" w:w="1234"/>
          </w:tcPr>
          <w:p>
            <w:r>
              <w:rPr>
                <w:rFonts w:ascii="Calibri" w:hAnsi="Calibri"/>
                <w:sz w:val="22"/>
              </w:rPr>
              <w:t>$12.80–$13.05 ($12.925 mid, raised +$0.30 at Investor Day)</w:t>
            </w:r>
          </w:p>
        </w:tc>
        <w:tc>
          <w:tcPr>
            <w:tcW w:type="dxa" w:w="1234"/>
          </w:tcPr>
          <w:p>
            <w:r>
              <w:rPr>
                <w:rFonts w:ascii="Calibri" w:hAnsi="Calibri"/>
                <w:sz w:val="22"/>
              </w:rPr>
              <w:t>~0.0% (in line with H2-weighted cadence; ~53% of FY EPS in H2)</w:t>
            </w:r>
          </w:p>
        </w:tc>
      </w:tr>
    </w:tbl>
    <w:p>
      <w:r>
        <w:rPr>
          <w:rFonts w:ascii="Calibri" w:hAnsi="Calibri"/>
          <w:b/>
          <w:color w:val="525866"/>
          <w:sz w:val="22"/>
        </w:rPr>
        <w:t xml:space="preserve">Sources: </w:t>
      </w:r>
      <w:r>
        <w:rPr>
          <w:rFonts w:ascii="Calibri" w:hAnsi="Calibri"/>
          <w:color w:val="525866"/>
          <w:sz w:val="22"/>
        </w:rPr>
        <w:t>Visible Alpha Consensus and Actuals Data (Total Revenue, SaaS Revenue, Transaction Revenue, Total ARR, Non-GAAP Diluted EPS); Tyler Technologies Q1 2026 Earnings Release (April 29, 2026); Tyler Technologies Investor Day (June 9, 2026). FY2026 guidance range raised at Investor Day to reflect May 2026 convertible note offering and share repurchase impact (+$0.30 to both ends of EPS range). Q2 2026 consensus estimates as of July 29,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$613.5</w:t>
            </w:r>
          </w:p>
        </w:tc>
        <w:tc>
          <w:tcPr>
            <w:tcW w:type="dxa" w:w="1728"/>
          </w:tcPr>
          <w:p>
            <w:r>
              <w:rPr>
                <w:rFonts w:ascii="Calibri" w:hAnsi="Calibri"/>
                <w:sz w:val="22"/>
              </w:rPr>
              <w:t>$610.7</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$575.2</w:t>
            </w:r>
          </w:p>
        </w:tc>
        <w:tc>
          <w:tcPr>
            <w:tcW w:type="dxa" w:w="1728"/>
          </w:tcPr>
          <w:p>
            <w:r>
              <w:rPr>
                <w:rFonts w:ascii="Calibri" w:hAnsi="Calibri"/>
                <w:sz w:val="22"/>
              </w:rPr>
              <w:t>$591.9</w:t>
            </w:r>
          </w:p>
        </w:tc>
        <w:tc>
          <w:tcPr>
            <w:tcW w:type="dxa" w:w="1728"/>
          </w:tcPr>
          <w:p>
            <w:r>
              <w:rPr>
                <w:rFonts w:ascii="Calibri" w:hAnsi="Calibri"/>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$595.9</w:t>
            </w:r>
          </w:p>
        </w:tc>
        <w:tc>
          <w:tcPr>
            <w:tcW w:type="dxa" w:w="1728"/>
          </w:tcPr>
          <w:p>
            <w:r>
              <w:rPr>
                <w:rFonts w:ascii="Calibri" w:hAnsi="Calibri"/>
                <w:sz w:val="22"/>
              </w:rPr>
              <w:t>$595.0</w:t>
            </w:r>
          </w:p>
        </w:tc>
        <w:tc>
          <w:tcPr>
            <w:tcW w:type="dxa" w:w="1728"/>
          </w:tcPr>
          <w:p>
            <w:r>
              <w:rPr>
                <w:rFonts w:ascii="Calibri" w:hAnsi="Calibri"/>
                <w:sz w:val="22"/>
              </w:rPr>
              <w:t>+0.1%</w:t>
            </w:r>
          </w:p>
        </w:tc>
        <w:tc>
          <w:tcPr>
            <w:tcW w:type="dxa" w:w="1728"/>
          </w:tcPr>
          <w:p>
            <w:r>
              <w:rPr>
                <w:rFonts w:ascii="Calibri" w:hAnsi="Calibri"/>
                <w:b/>
                <w:color w:val="30A46C"/>
                <w:sz w:val="22"/>
              </w:rPr>
              <w:t>In Line / Slight Beat</w:t>
            </w:r>
          </w:p>
        </w:tc>
      </w:tr>
      <w:tr>
        <w:tc>
          <w:tcPr>
            <w:tcW w:type="dxa" w:w="1728"/>
          </w:tcPr>
          <w:p>
            <w:r>
              <w:rPr>
                <w:rFonts w:ascii="Calibri" w:hAnsi="Calibri"/>
                <w:sz w:val="22"/>
              </w:rPr>
              <w:t>Q2 2025</w:t>
            </w:r>
          </w:p>
        </w:tc>
        <w:tc>
          <w:tcPr>
            <w:tcW w:type="dxa" w:w="1728"/>
          </w:tcPr>
          <w:p>
            <w:r>
              <w:rPr>
                <w:rFonts w:ascii="Calibri" w:hAnsi="Calibri"/>
                <w:sz w:val="22"/>
              </w:rPr>
              <w:t>$596.1</w:t>
            </w:r>
          </w:p>
        </w:tc>
        <w:tc>
          <w:tcPr>
            <w:tcW w:type="dxa" w:w="1728"/>
          </w:tcPr>
          <w:p>
            <w:r>
              <w:rPr>
                <w:rFonts w:ascii="Calibri" w:hAnsi="Calibri"/>
                <w:sz w:val="22"/>
              </w:rPr>
              <w:t>$589.5</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$565.2</w:t>
            </w:r>
          </w:p>
        </w:tc>
        <w:tc>
          <w:tcPr>
            <w:tcW w:type="dxa" w:w="1728"/>
          </w:tcPr>
          <w:p>
            <w:r>
              <w:rPr>
                <w:rFonts w:ascii="Calibri" w:hAnsi="Calibri"/>
                <w:sz w:val="22"/>
              </w:rPr>
              <w:t>$557.6</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$541.1</w:t>
            </w:r>
          </w:p>
        </w:tc>
        <w:tc>
          <w:tcPr>
            <w:tcW w:type="dxa" w:w="1728"/>
          </w:tcPr>
          <w:p>
            <w:r>
              <w:rPr>
                <w:rFonts w:ascii="Calibri" w:hAnsi="Calibri"/>
                <w:sz w:val="22"/>
              </w:rPr>
              <w:t>$541.3</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$543.3</w:t>
            </w:r>
          </w:p>
        </w:tc>
        <w:tc>
          <w:tcPr>
            <w:tcW w:type="dxa" w:w="1728"/>
          </w:tcPr>
          <w:p>
            <w:r>
              <w:rPr>
                <w:rFonts w:ascii="Calibri" w:hAnsi="Calibri"/>
                <w:sz w:val="22"/>
              </w:rPr>
              <w:t>$549.0</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prior to 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KPI 2: 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$3.09</w:t>
            </w:r>
          </w:p>
        </w:tc>
        <w:tc>
          <w:tcPr>
            <w:tcW w:type="dxa" w:w="1728"/>
          </w:tcPr>
          <w:p>
            <w:r>
              <w:rPr>
                <w:rFonts w:ascii="Calibri" w:hAnsi="Calibri"/>
                <w:sz w:val="22"/>
              </w:rPr>
              <w:t>$2.98</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$2.64</w:t>
            </w:r>
          </w:p>
        </w:tc>
        <w:tc>
          <w:tcPr>
            <w:tcW w:type="dxa" w:w="1728"/>
          </w:tcPr>
          <w:p>
            <w:r>
              <w:rPr>
                <w:rFonts w:ascii="Calibri" w:hAnsi="Calibri"/>
                <w:sz w:val="22"/>
              </w:rPr>
              <w:t>$2.72</w:t>
            </w:r>
          </w:p>
        </w:tc>
        <w:tc>
          <w:tcPr>
            <w:tcW w:type="dxa" w:w="1728"/>
          </w:tcPr>
          <w:p>
            <w:r>
              <w:rPr>
                <w:rFonts w:ascii="Calibri" w:hAnsi="Calibri"/>
                <w:sz w:val="22"/>
              </w:rPr>
              <w:t>-3.0%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$2.97</w:t>
            </w:r>
          </w:p>
        </w:tc>
        <w:tc>
          <w:tcPr>
            <w:tcW w:type="dxa" w:w="1728"/>
          </w:tcPr>
          <w:p>
            <w:r>
              <w:rPr>
                <w:rFonts w:ascii="Calibri" w:hAnsi="Calibri"/>
                <w:sz w:val="22"/>
              </w:rPr>
              <w:t>$2.87</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$2.91</w:t>
            </w:r>
          </w:p>
        </w:tc>
        <w:tc>
          <w:tcPr>
            <w:tcW w:type="dxa" w:w="1728"/>
          </w:tcPr>
          <w:p>
            <w:r>
              <w:rPr>
                <w:rFonts w:ascii="Calibri" w:hAnsi="Calibri"/>
                <w:sz w:val="22"/>
              </w:rPr>
              <w:t>$2.76</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$2.78</w:t>
            </w:r>
          </w:p>
        </w:tc>
        <w:tc>
          <w:tcPr>
            <w:tcW w:type="dxa" w:w="1728"/>
          </w:tcPr>
          <w:p>
            <w:r>
              <w:rPr>
                <w:rFonts w:ascii="Calibri" w:hAnsi="Calibri"/>
                <w:sz w:val="22"/>
              </w:rPr>
              <w:t>$2.55</w:t>
            </w:r>
          </w:p>
        </w:tc>
        <w:tc>
          <w:tcPr>
            <w:tcW w:type="dxa" w:w="1728"/>
          </w:tcPr>
          <w:p>
            <w:r>
              <w:rPr>
                <w:rFonts w:ascii="Calibri" w:hAnsi="Calibri"/>
                <w:sz w:val="22"/>
              </w:rPr>
              <w:t>+9.0%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$2.43</w:t>
            </w:r>
          </w:p>
        </w:tc>
        <w:tc>
          <w:tcPr>
            <w:tcW w:type="dxa" w:w="1728"/>
          </w:tcPr>
          <w:p>
            <w:r>
              <w:rPr>
                <w:rFonts w:ascii="Calibri" w:hAnsi="Calibri"/>
                <w:sz w:val="22"/>
              </w:rPr>
              <w:t>$2.44</w:t>
            </w:r>
          </w:p>
        </w:tc>
        <w:tc>
          <w:tcPr>
            <w:tcW w:type="dxa" w:w="1728"/>
          </w:tcPr>
          <w:p>
            <w:r>
              <w:rPr>
                <w:rFonts w:ascii="Calibri" w:hAnsi="Calibri"/>
                <w:sz w:val="22"/>
              </w:rPr>
              <w:t>-0.4%</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$2.52</w:t>
            </w:r>
          </w:p>
        </w:tc>
        <w:tc>
          <w:tcPr>
            <w:tcW w:type="dxa" w:w="1728"/>
          </w:tcPr>
          <w:p>
            <w:r>
              <w:rPr>
                <w:rFonts w:ascii="Calibri" w:hAnsi="Calibri"/>
                <w:sz w:val="22"/>
              </w:rPr>
              <w:t>$2.44</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prior to 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TYL has beaten non-GAAP EPS consensus in 5 of the last 7 reported quarters, with the lone meaningful miss in Q4 2025 — a quarter where elevated investment spend and the Texas contract roll-off weighed on results; the Q1 2026 beat re-established the pattern and the Q2 2026 bar has since drifted lower, modestly improving the setup.</w:t>
      </w:r>
    </w:p>
    <w:p>
      <w:r>
        <w:rPr>
          <w:rFonts w:ascii="Calibri" w:hAnsi="Calibri"/>
          <w:b/>
          <w:color w:val="525866"/>
          <w:sz w:val="22"/>
        </w:rPr>
        <w:t xml:space="preserve">Source: </w:t>
      </w:r>
      <w:r>
        <w:rPr>
          <w:rFonts w:ascii="Calibri" w:hAnsi="Calibri"/>
          <w:color w:val="525866"/>
          <w:sz w:val="22"/>
        </w:rPr>
        <w:t>Visible Alpha Consensus and Actuals Data (Total Revenue, EPS — Diluted — Operating).</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Q1 earnings — FY2026 non-GAAP EPS was raised by $0.30 on both ends at the June 9 Investor Day, driven by the accretive convertible note offering and share repurchase. Tone has shifted from cautiously optimistic to assertively confident, with management raising 2030 targets across every metric and characterizing the stock as a generational buying opportunity.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29–30,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$2,535M–$2,575M</w:t>
            </w:r>
          </w:p>
        </w:tc>
        <w:tc>
          <w:tcPr>
            <w:tcW w:type="dxa" w:w="1728"/>
          </w:tcPr>
          <w:p>
            <w:r>
              <w:rPr>
                <w:rFonts w:ascii="Calibri" w:hAnsi="Calibri"/>
                <w:sz w:val="22"/>
              </w:rPr>
              <w:t>Unchanged</w:t>
            </w:r>
          </w:p>
        </w:tc>
        <w:tc>
          <w:tcPr>
            <w:tcW w:type="dxa" w:w="1728"/>
          </w:tcPr>
          <w:p>
            <w:r>
              <w:rPr>
                <w:rFonts w:ascii="Calibri" w:hAnsi="Calibri"/>
                <w:sz w:val="22"/>
              </w:rPr>
              <w:t>$2,558.5M</w:t>
            </w:r>
          </w:p>
        </w:tc>
        <w:tc>
          <w:tcPr>
            <w:tcW w:type="dxa" w:w="1728"/>
          </w:tcPr>
          <w:p>
            <w:r>
              <w:rPr>
                <w:rFonts w:ascii="Calibri" w:hAnsi="Calibri"/>
                <w:sz w:val="22"/>
              </w:rPr>
              <w:t>No post-Q1 revision; FTR (~$30M) and transaction outperformance already baked in at Q1 print</w:t>
            </w:r>
          </w:p>
        </w:tc>
      </w:tr>
      <w:tr>
        <w:tc>
          <w:tcPr>
            <w:tcW w:type="dxa" w:w="1728"/>
          </w:tcPr>
          <w:p>
            <w:r>
              <w:rPr>
                <w:rFonts w:ascii="Calibri" w:hAnsi="Calibri"/>
                <w:sz w:val="22"/>
              </w:rPr>
              <w:t>FY2026 Non-GAAP Diluted EPS</w:t>
            </w:r>
          </w:p>
        </w:tc>
        <w:tc>
          <w:tcPr>
            <w:tcW w:type="dxa" w:w="1728"/>
          </w:tcPr>
          <w:p>
            <w:r>
              <w:rPr>
                <w:rFonts w:ascii="Calibri" w:hAnsi="Calibri"/>
                <w:sz w:val="22"/>
              </w:rPr>
              <w:t>$12.50–$12.75</w:t>
            </w:r>
          </w:p>
        </w:tc>
        <w:tc>
          <w:tcPr>
            <w:tcW w:type="dxa" w:w="1728"/>
          </w:tcPr>
          <w:p>
            <w:r>
              <w:rPr>
                <w:rFonts w:ascii="Calibri" w:hAnsi="Calibri"/>
                <w:sz w:val="22"/>
              </w:rPr>
              <w:t>$12.80–$13.05</w:t>
            </w:r>
          </w:p>
        </w:tc>
        <w:tc>
          <w:tcPr>
            <w:tcW w:type="dxa" w:w="1728"/>
          </w:tcPr>
          <w:p>
            <w:r>
              <w:rPr>
                <w:rFonts w:ascii="Calibri" w:hAnsi="Calibri"/>
                <w:sz w:val="22"/>
              </w:rPr>
              <w:t>$12.92</w:t>
            </w:r>
          </w:p>
        </w:tc>
        <w:tc>
          <w:tcPr>
            <w:tcW w:type="dxa" w:w="1728"/>
          </w:tcPr>
          <w:p>
            <w:r>
              <w:rPr>
                <w:rFonts w:ascii="Calibri" w:hAnsi="Calibri"/>
                <w:sz w:val="22"/>
              </w:rPr>
              <w:t>↑ Raised +$0.30 on both ends at Investor Day (June 9, 2026); accretive impact of $1.44B convertible note offering (higher net interest income) and lower share count from concurrent ~1M share repurchase</w:t>
            </w:r>
          </w:p>
        </w:tc>
      </w:tr>
      <w:tr>
        <w:tc>
          <w:tcPr>
            <w:tcW w:type="dxa" w:w="1728"/>
          </w:tcPr>
          <w:p>
            <w:r>
              <w:rPr>
                <w:rFonts w:ascii="Calibri" w:hAnsi="Calibri"/>
                <w:sz w:val="22"/>
              </w:rPr>
              <w:t>FY2026 Free Cash Flow Margin</w:t>
            </w:r>
          </w:p>
        </w:tc>
        <w:tc>
          <w:tcPr>
            <w:tcW w:type="dxa" w:w="1728"/>
          </w:tcPr>
          <w:p>
            <w:r>
              <w:rPr>
                <w:rFonts w:ascii="Calibri" w:hAnsi="Calibri"/>
                <w:sz w:val="22"/>
              </w:rPr>
              <w:t>26%–28%</w:t>
            </w:r>
          </w:p>
        </w:tc>
        <w:tc>
          <w:tcPr>
            <w:tcW w:type="dxa" w:w="1728"/>
          </w:tcPr>
          <w:p>
            <w:r>
              <w:rPr>
                <w:rFonts w:ascii="Calibri" w:hAnsi="Calibri"/>
                <w:sz w:val="22"/>
              </w:rPr>
              <w:t>Unchanged</w:t>
            </w:r>
          </w:p>
        </w:tc>
        <w:tc>
          <w:tcPr>
            <w:tcW w:type="dxa" w:w="1728"/>
          </w:tcPr>
          <w:p>
            <w:r>
              <w:rPr>
                <w:rFonts w:ascii="Calibri" w:hAnsi="Calibri"/>
                <w:sz w:val="22"/>
              </w:rPr>
              <w:t>N/A — not tracked in VA consensus</w:t>
            </w:r>
          </w:p>
        </w:tc>
        <w:tc>
          <w:tcPr>
            <w:tcW w:type="dxa" w:w="1728"/>
          </w:tcPr>
          <w:p>
            <w:r>
              <w:rPr>
                <w:rFonts w:ascii="Calibri" w:hAnsi="Calibri"/>
                <w:sz w:val="22"/>
              </w:rPr>
              <w:t>Management reiterated FCF margin expectation unchanged on Q1 call; strong Q1 FCF ($102.8M, +113% YoY) provides confidence</w:t>
            </w:r>
          </w:p>
        </w:tc>
      </w:tr>
      <w:tr>
        <w:tc>
          <w:tcPr>
            <w:tcW w:type="dxa" w:w="1728"/>
          </w:tcPr>
          <w:p>
            <w:r>
              <w:rPr>
                <w:rFonts w:ascii="Calibri" w:hAnsi="Calibri"/>
                <w:sz w:val="22"/>
              </w:rPr>
              <w:t>FY2026 R&amp;D Expense</w:t>
            </w:r>
          </w:p>
        </w:tc>
        <w:tc>
          <w:tcPr>
            <w:tcW w:type="dxa" w:w="1728"/>
          </w:tcPr>
          <w:p>
            <w:r>
              <w:rPr>
                <w:rFonts w:ascii="Calibri" w:hAnsi="Calibri"/>
                <w:sz w:val="22"/>
              </w:rPr>
              <w:t>$245M–$250M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Elevated AI and product investment; management flagged 2026 margin expansion will be lower than recent years due to this spend</w:t>
            </w:r>
          </w:p>
        </w:tc>
      </w:tr>
      <w:tr>
        <w:tc>
          <w:tcPr>
            <w:tcW w:type="dxa" w:w="1728"/>
          </w:tcPr>
          <w:p>
            <w:r>
              <w:rPr>
                <w:rFonts w:ascii="Calibri" w:hAnsi="Calibri"/>
                <w:sz w:val="22"/>
              </w:rPr>
              <w:t>FY2026 CapEx</w:t>
            </w:r>
          </w:p>
        </w:tc>
        <w:tc>
          <w:tcPr>
            <w:tcW w:type="dxa" w:w="1728"/>
          </w:tcPr>
          <w:p>
            <w:r>
              <w:rPr>
                <w:rFonts w:ascii="Calibri" w:hAnsi="Calibri"/>
                <w:sz w:val="22"/>
              </w:rPr>
              <w:t>$18M–$20M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Data center exit completed end-2025; CapEx structurally lower going forward</w:t>
            </w:r>
          </w:p>
        </w:tc>
      </w:tr>
      <w:tr>
        <w:tc>
          <w:tcPr>
            <w:tcW w:type="dxa" w:w="1728"/>
          </w:tcPr>
          <w:p>
            <w:r>
              <w:rPr>
                <w:rFonts w:ascii="Calibri" w:hAnsi="Calibri"/>
                <w:sz w:val="22"/>
              </w:rPr>
              <w:t>2030 ARR Target</w:t>
            </w:r>
          </w:p>
        </w:tc>
        <w:tc>
          <w:tcPr>
            <w:tcW w:type="dxa" w:w="1728"/>
          </w:tcPr>
          <w:p>
            <w:r>
              <w:rPr>
                <w:rFonts w:ascii="Calibri" w:hAnsi="Calibri"/>
                <w:sz w:val="22"/>
              </w:rPr>
              <w:t>$3.2B–$3.4B (2023 Investor Day)</w:t>
            </w:r>
          </w:p>
        </w:tc>
        <w:tc>
          <w:tcPr>
            <w:tcW w:type="dxa" w:w="1728"/>
          </w:tcPr>
          <w:p>
            <w:r>
              <w:rPr>
                <w:rFonts w:ascii="Calibri" w:hAnsi="Calibri"/>
                <w:sz w:val="22"/>
              </w:rPr>
              <w:t>$3.3B–$3.4B (high end of prior range)</w:t>
            </w:r>
          </w:p>
        </w:tc>
        <w:tc>
          <w:tcPr>
            <w:tcW w:type="dxa" w:w="1728"/>
          </w:tcPr>
          <w:p>
            <w:r>
              <w:rPr>
                <w:rFonts w:ascii="Calibri" w:hAnsi="Calibri"/>
                <w:sz w:val="22"/>
              </w:rPr>
              <w:t>$2.297B FY2026 consensus</w:t>
            </w:r>
          </w:p>
        </w:tc>
        <w:tc>
          <w:tcPr>
            <w:tcW w:type="dxa" w:w="1728"/>
          </w:tcPr>
          <w:p>
            <w:r>
              <w:rPr>
                <w:rFonts w:ascii="Calibri" w:hAnsi="Calibri"/>
                <w:sz w:val="22"/>
              </w:rPr>
              <w:t>↑ Raised at Investor Day (June 9, 2026); SaaS CAGR target raised to ~20% from prior high-teens; FCF target raised to $1.1B–$1.2B from $1.0B; operating margin target raised to mid-30s from 30%</w:t>
            </w:r>
          </w:p>
        </w:tc>
      </w:tr>
    </w:tbl>
    <w:p>
      <w:r>
        <w:rPr>
          <w:rFonts w:ascii="Calibri" w:hAnsi="Calibri"/>
          <w:b/>
          <w:color w:val="525866"/>
          <w:sz w:val="22"/>
        </w:rPr>
        <w:t xml:space="preserve">Sources: </w:t>
      </w:r>
      <w:r>
        <w:rPr>
          <w:rFonts w:ascii="Calibri" w:hAnsi="Calibri"/>
          <w:color w:val="525866"/>
          <w:sz w:val="22"/>
        </w:rPr>
        <w:t>Tyler Technologies Q1 2026 Earnings Release (April 29, 2026); Tyler Technologies Q1 2026 Earnings Call Transcript (April 30, 2026); Tyler Technologies Investor Day Transcript (June 9,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lower since the Q1 print — non-GAAP EPS consensus is down ~4% from the post-Q1 baseline, likely reflecting FTR integration costs and elevated R&amp;D. SaaS and ARR estimates are essentially unchanged, suggesting the street is not questioning the growth trajectory, only the near-term margin cadence. The gap between consensus and guidance is narrow, leaving limited room for a negative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 (post Investor Day)</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Total Revenue — Q2 2026</w:t>
            </w:r>
          </w:p>
        </w:tc>
        <w:tc>
          <w:tcPr>
            <w:tcW w:type="dxa" w:w="1080"/>
          </w:tcPr>
          <w:p>
            <w:r>
              <w:rPr>
                <w:rFonts w:ascii="Calibri" w:hAnsi="Calibri"/>
                <w:sz w:val="22"/>
              </w:rPr>
              <w:t>$648.6M</w:t>
            </w:r>
          </w:p>
        </w:tc>
        <w:tc>
          <w:tcPr>
            <w:tcW w:type="dxa" w:w="1080"/>
          </w:tcPr>
          <w:p>
            <w:r>
              <w:rPr>
                <w:rFonts w:ascii="Calibri" w:hAnsi="Calibri"/>
                <w:sz w:val="22"/>
              </w:rPr>
              <w:t>$647.9M</w:t>
            </w:r>
          </w:p>
        </w:tc>
        <w:tc>
          <w:tcPr>
            <w:tcW w:type="dxa" w:w="1080"/>
          </w:tcPr>
          <w:p>
            <w:r>
              <w:rPr>
                <w:rFonts w:ascii="Calibri" w:hAnsi="Calibri"/>
                <w:sz w:val="22"/>
              </w:rPr>
              <w:t>-0.1%</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$2,558.5M</w:t>
            </w:r>
          </w:p>
        </w:tc>
        <w:tc>
          <w:tcPr>
            <w:tcW w:type="dxa" w:w="1080"/>
          </w:tcPr>
          <w:p>
            <w:r>
              <w:rPr>
                <w:rFonts w:ascii="Calibri" w:hAnsi="Calibri"/>
                <w:sz w:val="22"/>
              </w:rPr>
              <w:t>$2,558.5M</w:t>
            </w:r>
          </w:p>
        </w:tc>
        <w:tc>
          <w:tcPr>
            <w:tcW w:type="dxa" w:w="1080"/>
          </w:tcPr>
          <w:p>
            <w:r>
              <w:rPr>
                <w:rFonts w:ascii="Calibri" w:hAnsi="Calibri"/>
                <w:sz w:val="22"/>
              </w:rPr>
              <w:t>0.0%</w:t>
            </w:r>
          </w:p>
        </w:tc>
        <w:tc>
          <w:tcPr>
            <w:tcW w:type="dxa" w:w="1080"/>
          </w:tcPr>
          <w:p>
            <w:r>
              <w:rPr>
                <w:rFonts w:ascii="Calibri" w:hAnsi="Calibri"/>
                <w:sz w:val="22"/>
              </w:rPr>
              <w:t>$2,535M–$2,575M ($2,555M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+0.1% above midpoint</w:t>
            </w:r>
          </w:p>
        </w:tc>
      </w:tr>
      <w:tr>
        <w:tc>
          <w:tcPr>
            <w:tcW w:type="dxa" w:w="1080"/>
          </w:tcPr>
          <w:p>
            <w:r>
              <w:rPr>
                <w:rFonts w:ascii="Calibri" w:hAnsi="Calibri"/>
                <w:sz w:val="22"/>
              </w:rPr>
              <w:t>Non-GAAP EPS — Q2 2026</w:t>
            </w:r>
          </w:p>
        </w:tc>
        <w:tc>
          <w:tcPr>
            <w:tcW w:type="dxa" w:w="1080"/>
          </w:tcPr>
          <w:p>
            <w:r>
              <w:rPr>
                <w:rFonts w:ascii="Calibri" w:hAnsi="Calibri"/>
                <w:sz w:val="22"/>
              </w:rPr>
              <w:t>$3.18</w:t>
            </w:r>
          </w:p>
        </w:tc>
        <w:tc>
          <w:tcPr>
            <w:tcW w:type="dxa" w:w="1080"/>
          </w:tcPr>
          <w:p>
            <w:r>
              <w:rPr>
                <w:rFonts w:ascii="Calibri" w:hAnsi="Calibri"/>
                <w:sz w:val="22"/>
              </w:rPr>
              <w:t>$3.05</w:t>
            </w:r>
          </w:p>
        </w:tc>
        <w:tc>
          <w:tcPr>
            <w:tcW w:type="dxa" w:w="1080"/>
          </w:tcPr>
          <w:p>
            <w:r>
              <w:rPr>
                <w:rFonts w:ascii="Calibri" w:hAnsi="Calibri"/>
                <w:b/>
                <w:color w:val="E5484D"/>
                <w:sz w:val="22"/>
              </w:rPr>
              <w:t>-4.1%</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$12.65</w:t>
            </w:r>
          </w:p>
        </w:tc>
        <w:tc>
          <w:tcPr>
            <w:tcW w:type="dxa" w:w="1080"/>
          </w:tcPr>
          <w:p>
            <w:r>
              <w:rPr>
                <w:rFonts w:ascii="Calibri" w:hAnsi="Calibri"/>
                <w:sz w:val="22"/>
              </w:rPr>
              <w:t>$12.92</w:t>
            </w:r>
          </w:p>
        </w:tc>
        <w:tc>
          <w:tcPr>
            <w:tcW w:type="dxa" w:w="1080"/>
          </w:tcPr>
          <w:p>
            <w:r>
              <w:rPr>
                <w:rFonts w:ascii="Calibri" w:hAnsi="Calibri"/>
                <w:b/>
                <w:color w:val="30A46C"/>
                <w:sz w:val="22"/>
              </w:rPr>
              <w:t>+2.1%</w:t>
            </w:r>
          </w:p>
        </w:tc>
        <w:tc>
          <w:tcPr>
            <w:tcW w:type="dxa" w:w="1080"/>
          </w:tcPr>
          <w:p>
            <w:r>
              <w:rPr>
                <w:rFonts w:ascii="Calibri" w:hAnsi="Calibri"/>
                <w:sz w:val="22"/>
              </w:rPr>
              <w:t>$12.50–$12.75 ($12.625 mid)</w:t>
            </w:r>
          </w:p>
        </w:tc>
        <w:tc>
          <w:tcPr>
            <w:tcW w:type="dxa" w:w="1080"/>
          </w:tcPr>
          <w:p>
            <w:r>
              <w:rPr>
                <w:rFonts w:ascii="Calibri" w:hAnsi="Calibri"/>
                <w:sz w:val="22"/>
              </w:rPr>
              <w:t>$12.80–$13.05 ($12.925 mid, raised +$0.30 at Investor Day)</w:t>
            </w:r>
          </w:p>
        </w:tc>
        <w:tc>
          <w:tcPr>
            <w:tcW w:type="dxa" w:w="1080"/>
          </w:tcPr>
          <w:p>
            <w:r>
              <w:rPr>
                <w:rFonts w:ascii="Calibri" w:hAnsi="Calibri"/>
                <w:b/>
                <w:color w:val="30A46C"/>
                <w:sz w:val="22"/>
              </w:rPr>
              <w:t>+$0.30 / +2.4%</w:t>
            </w:r>
          </w:p>
        </w:tc>
        <w:tc>
          <w:tcPr>
            <w:tcW w:type="dxa" w:w="1080"/>
          </w:tcPr>
          <w:p>
            <w:r>
              <w:rPr>
                <w:rFonts w:ascii="Calibri" w:hAnsi="Calibri"/>
                <w:sz w:val="22"/>
              </w:rPr>
              <w:t>-0.0% (essentially at midpoint)</w:t>
            </w:r>
          </w:p>
        </w:tc>
      </w:tr>
      <w:tr>
        <w:tc>
          <w:tcPr>
            <w:tcW w:type="dxa" w:w="1080"/>
          </w:tcPr>
          <w:p>
            <w:r>
              <w:rPr>
                <w:rFonts w:ascii="Calibri" w:hAnsi="Calibri"/>
                <w:sz w:val="22"/>
              </w:rPr>
              <w:t>SaaS Revenue — Q2 2026</w:t>
            </w:r>
          </w:p>
        </w:tc>
        <w:tc>
          <w:tcPr>
            <w:tcW w:type="dxa" w:w="1080"/>
          </w:tcPr>
          <w:p>
            <w:r>
              <w:rPr>
                <w:rFonts w:ascii="Calibri" w:hAnsi="Calibri"/>
                <w:sz w:val="22"/>
              </w:rPr>
              <w:t>$232.8M</w:t>
            </w:r>
          </w:p>
        </w:tc>
        <w:tc>
          <w:tcPr>
            <w:tcW w:type="dxa" w:w="1080"/>
          </w:tcPr>
          <w:p>
            <w:r>
              <w:rPr>
                <w:rFonts w:ascii="Calibri" w:hAnsi="Calibri"/>
                <w:sz w:val="22"/>
              </w:rPr>
              <w:t>$232.8M</w:t>
            </w:r>
          </w:p>
        </w:tc>
        <w:tc>
          <w:tcPr>
            <w:tcW w:type="dxa" w:w="1080"/>
          </w:tcPr>
          <w:p>
            <w:r>
              <w:rPr>
                <w:rFonts w:ascii="Calibri" w:hAnsi="Calibri"/>
                <w:sz w:val="22"/>
              </w:rPr>
              <w:t>0.0%</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SaaS Revenue — FY2026</w:t>
            </w:r>
          </w:p>
        </w:tc>
        <w:tc>
          <w:tcPr>
            <w:tcW w:type="dxa" w:w="1080"/>
          </w:tcPr>
          <w:p>
            <w:r>
              <w:rPr>
                <w:rFonts w:ascii="Calibri" w:hAnsi="Calibri"/>
                <w:sz w:val="22"/>
              </w:rPr>
              <w:t>$955.3M</w:t>
            </w:r>
          </w:p>
        </w:tc>
        <w:tc>
          <w:tcPr>
            <w:tcW w:type="dxa" w:w="1080"/>
          </w:tcPr>
          <w:p>
            <w:r>
              <w:rPr>
                <w:rFonts w:ascii="Calibri" w:hAnsi="Calibri"/>
                <w:sz w:val="22"/>
              </w:rPr>
              <w:t>$955.3M</w:t>
            </w:r>
          </w:p>
        </w:tc>
        <w:tc>
          <w:tcPr>
            <w:tcW w:type="dxa" w:w="1080"/>
          </w:tcPr>
          <w:p>
            <w:r>
              <w:rPr>
                <w:rFonts w:ascii="Calibri" w:hAnsi="Calibri"/>
                <w:sz w:val="22"/>
              </w:rPr>
              <w:t>0.0%</w:t>
            </w:r>
          </w:p>
        </w:tc>
        <w:tc>
          <w:tcPr>
            <w:tcW w:type="dxa" w:w="1080"/>
          </w:tcPr>
          <w:p>
            <w:r>
              <w:rPr>
                <w:rFonts w:ascii="Calibri" w:hAnsi="Calibri"/>
                <w:sz w:val="22"/>
              </w:rPr>
              <w:t>~20% CAGR target (long-term)</w:t>
            </w:r>
          </w:p>
        </w:tc>
        <w:tc>
          <w:tcPr>
            <w:tcW w:type="dxa" w:w="1080"/>
          </w:tcPr>
          <w:p>
            <w:r>
              <w:rPr>
                <w:rFonts w:ascii="Calibri" w:hAnsi="Calibri"/>
                <w:sz w:val="22"/>
              </w:rPr>
              <w:t>~20% CAGR target (raised at Investor Day from high-teens)</w:t>
            </w:r>
          </w:p>
        </w:tc>
        <w:tc>
          <w:tcPr>
            <w:tcW w:type="dxa" w:w="1080"/>
          </w:tcPr>
          <w:p>
            <w:r>
              <w:rPr>
                <w:rFonts w:ascii="Calibri" w:hAnsi="Calibri"/>
                <w:sz w:val="22"/>
              </w:rPr>
              <w:t>↑ Raised</w:t>
            </w:r>
          </w:p>
        </w:tc>
        <w:tc>
          <w:tcPr>
            <w:tcW w:type="dxa" w:w="1080"/>
          </w:tcPr>
          <w:p>
            <w:r>
              <w:rPr>
                <w:rFonts w:ascii="Calibri" w:hAnsi="Calibri"/>
                <w:sz w:val="22"/>
              </w:rPr>
              <w:t>In line with FY run-rate</w:t>
            </w:r>
          </w:p>
        </w:tc>
      </w:tr>
      <w:tr>
        <w:tc>
          <w:tcPr>
            <w:tcW w:type="dxa" w:w="1080"/>
          </w:tcPr>
          <w:p>
            <w:r>
              <w:rPr>
                <w:rFonts w:ascii="Calibri" w:hAnsi="Calibri"/>
                <w:sz w:val="22"/>
              </w:rPr>
              <w:t>Total ARR — Q2 2026</w:t>
            </w:r>
          </w:p>
        </w:tc>
        <w:tc>
          <w:tcPr>
            <w:tcW w:type="dxa" w:w="1080"/>
          </w:tcPr>
          <w:p>
            <w:r>
              <w:rPr>
                <w:rFonts w:ascii="Calibri" w:hAnsi="Calibri"/>
                <w:sz w:val="22"/>
              </w:rPr>
              <w:t>$2.271B</w:t>
            </w:r>
          </w:p>
        </w:tc>
        <w:tc>
          <w:tcPr>
            <w:tcW w:type="dxa" w:w="1080"/>
          </w:tcPr>
          <w:p>
            <w:r>
              <w:rPr>
                <w:rFonts w:ascii="Calibri" w:hAnsi="Calibri"/>
                <w:sz w:val="22"/>
              </w:rPr>
              <w:t>$2.271B</w:t>
            </w:r>
          </w:p>
        </w:tc>
        <w:tc>
          <w:tcPr>
            <w:tcW w:type="dxa" w:w="1080"/>
          </w:tcPr>
          <w:p>
            <w:r>
              <w:rPr>
                <w:rFonts w:ascii="Calibri" w:hAnsi="Calibri"/>
                <w:sz w:val="22"/>
              </w:rPr>
              <w:t>0.0%</w:t>
            </w:r>
          </w:p>
        </w:tc>
        <w:tc>
          <w:tcPr>
            <w:tcW w:type="dxa" w:w="1080"/>
          </w:tcPr>
          <w:p>
            <w:r>
              <w:rPr>
                <w:rFonts w:ascii="Calibri" w:hAnsi="Calibri"/>
                <w:sz w:val="22"/>
              </w:rPr>
              <w:t>No Q2-specific guidance provided</w:t>
            </w:r>
          </w:p>
        </w:tc>
        <w:tc>
          <w:tcPr>
            <w:tcW w:type="dxa" w:w="1080"/>
          </w:tcPr>
          <w:p>
            <w:r>
              <w:rPr>
                <w:rFonts w:ascii="Calibri" w:hAnsi="Calibri"/>
                <w:sz w:val="22"/>
              </w:rPr>
              <w:t>No Q2-specific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ARR — FY2026</w:t>
            </w:r>
          </w:p>
        </w:tc>
        <w:tc>
          <w:tcPr>
            <w:tcW w:type="dxa" w:w="1080"/>
          </w:tcPr>
          <w:p>
            <w:r>
              <w:rPr>
                <w:rFonts w:ascii="Calibri" w:hAnsi="Calibri"/>
                <w:sz w:val="22"/>
              </w:rPr>
              <w:t>$2.297B</w:t>
            </w:r>
          </w:p>
        </w:tc>
        <w:tc>
          <w:tcPr>
            <w:tcW w:type="dxa" w:w="1080"/>
          </w:tcPr>
          <w:p>
            <w:r>
              <w:rPr>
                <w:rFonts w:ascii="Calibri" w:hAnsi="Calibri"/>
                <w:sz w:val="22"/>
              </w:rPr>
              <w:t>$2.297B</w:t>
            </w:r>
          </w:p>
        </w:tc>
        <w:tc>
          <w:tcPr>
            <w:tcW w:type="dxa" w:w="1080"/>
          </w:tcPr>
          <w:p>
            <w:r>
              <w:rPr>
                <w:rFonts w:ascii="Calibri" w:hAnsi="Calibri"/>
                <w:sz w:val="22"/>
              </w:rPr>
              <w:t>0.0%</w:t>
            </w:r>
          </w:p>
        </w:tc>
        <w:tc>
          <w:tcPr>
            <w:tcW w:type="dxa" w:w="1080"/>
          </w:tcPr>
          <w:p>
            <w:r>
              <w:rPr>
                <w:rFonts w:ascii="Calibri" w:hAnsi="Calibri"/>
                <w:sz w:val="22"/>
              </w:rPr>
              <w:t>2030 target: $3.3B–$3.4B</w:t>
            </w:r>
          </w:p>
        </w:tc>
        <w:tc>
          <w:tcPr>
            <w:tcW w:type="dxa" w:w="1080"/>
          </w:tcPr>
          <w:p>
            <w:r>
              <w:rPr>
                <w:rFonts w:ascii="Calibri" w:hAnsi="Calibri"/>
                <w:sz w:val="22"/>
              </w:rPr>
              <w:t>2030 target raised to high end of prior range ($3.3B–$3.4B) at Investor Day</w:t>
            </w:r>
          </w:p>
        </w:tc>
        <w:tc>
          <w:tcPr>
            <w:tcW w:type="dxa" w:w="1080"/>
          </w:tcPr>
          <w:p>
            <w:r>
              <w:rPr>
                <w:rFonts w:ascii="Calibri" w:hAnsi="Calibri"/>
                <w:sz w:val="22"/>
              </w:rPr>
              <w:t>↑ Raised</w:t>
            </w:r>
          </w:p>
        </w:tc>
        <w:tc>
          <w:tcPr>
            <w:tcW w:type="dxa" w:w="1080"/>
          </w:tcPr>
          <w:p>
            <w:r>
              <w:rPr>
                <w:rFonts w:ascii="Calibri" w:hAnsi="Calibri"/>
                <w:sz w:val="22"/>
              </w:rPr>
              <w:t>N/A (FY target is 2030)</w:t>
            </w:r>
          </w:p>
        </w:tc>
      </w:tr>
    </w:tbl>
    <w:p>
      <w:r>
        <w:rPr>
          <w:rFonts w:ascii="Calibri" w:hAnsi="Calibri"/>
          <w:b/>
          <w:color w:val="525866"/>
          <w:sz w:val="22"/>
        </w:rPr>
        <w:t xml:space="preserve">Commentary: </w:t>
      </w:r>
      <w:r>
        <w:rPr>
          <w:rFonts w:ascii="Calibri" w:hAnsi="Calibri"/>
          <w:color w:val="525866"/>
          <w:sz w:val="22"/>
        </w:rPr>
        <w:t>The most notable revision dynamic is the ~4% drift lower in Q2 2026 non-GAAP EPS consensus since the Q1 print, which likely reflects FTR integration costs and elevated AI/R&amp;D investment rather than any demand concern — FY2026 EPS consensus has actually moved higher (+2.1%) following the Investor Day guidance raise, confirming the Q2 dip is a timing/cost issue, not a structural one. SaaS and ARR estimates are unchanged, which is the most important signal: the street is not questioning the cloud transition trajectory.</w:t>
      </w:r>
    </w:p>
    <w:p>
      <w:r>
        <w:rPr>
          <w:rFonts w:ascii="Calibri" w:hAnsi="Calibri"/>
          <w:b/>
          <w:color w:val="525866"/>
          <w:sz w:val="22"/>
        </w:rPr>
        <w:t xml:space="preserve">Sources: </w:t>
      </w:r>
      <w:r>
        <w:rPr>
          <w:rFonts w:ascii="Calibri" w:hAnsi="Calibri"/>
          <w:color w:val="525866"/>
          <w:sz w:val="22"/>
        </w:rPr>
        <w:t>Visible Alpha Consensus and Actuals Data (as-of dates: May 6, 2026 and July 29, 2026); Tyler Technologies Q1 2026 Earnings Call Transcript (April 30, 2026); Tyler Technologies Investor Day Transcript (June 9,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TYL has significantly underperformed since Q1 earnings — down ~6% vs. IGV up ~9% and SPY up ~4% — driven almost entirely by </w:t>
      </w:r>
      <w:r>
        <w:rPr>
          <w:rFonts w:ascii="Calibri" w:hAnsi="Calibri"/>
          <w:b/>
          <w:color w:val="525866"/>
          <w:sz w:val="22"/>
        </w:rPr>
        <w:t>multiple compression</w:t>
      </w:r>
      <w:r>
        <w:rPr>
          <w:rFonts w:ascii="Calibri" w:hAnsi="Calibri"/>
          <w:color w:val="525866"/>
          <w:sz w:val="22"/>
        </w:rPr>
        <w:t xml:space="preserve"> (EV/EBITDA contracted from ~24x to ~16x over 6 months) rather than estimate cuts, creating a potentially durable setup if Q2 execution is clean.</w:t>
      </w:r>
    </w:p>
    <w:p>
      <w:r>
        <w:rPr>
          <w:rFonts w:ascii="Calibri" w:hAnsi="Calibri"/>
          <w:color w:val="525866"/>
          <w:sz w:val="22"/>
        </w:rPr>
        <w:t>Since Q1 earnings (April 29, 2026 base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April 29, 2026 (Base)</w:t>
            </w:r>
          </w:p>
        </w:tc>
        <w:tc>
          <w:tcPr>
            <w:tcW w:type="dxa" w:w="2160"/>
            <w:shd w:val="clear" w:color="auto" w:fill="3B4259"/>
          </w:tcPr>
          <w:p>
            <w:r>
              <w:rPr>
                <w:rFonts w:ascii="Calibri" w:hAnsi="Calibri"/>
                <w:b/>
                <w:color w:val="FFFFFF"/>
                <w:sz w:val="22"/>
              </w:rPr>
              <w:t>July 29, 2026</w:t>
            </w:r>
          </w:p>
        </w:tc>
        <w:tc>
          <w:tcPr>
            <w:tcW w:type="dxa" w:w="2160"/>
            <w:shd w:val="clear" w:color="auto" w:fill="3B4259"/>
          </w:tcPr>
          <w:p>
            <w:r>
              <w:rPr>
                <w:rFonts w:ascii="Calibri" w:hAnsi="Calibri"/>
                <w:b/>
                <w:color w:val="FFFFFF"/>
                <w:sz w:val="22"/>
              </w:rPr>
              <w:t>Indexed Return</w:t>
            </w:r>
          </w:p>
        </w:tc>
      </w:tr>
      <w:tr>
        <w:tc>
          <w:tcPr>
            <w:tcW w:type="dxa" w:w="2160"/>
          </w:tcPr>
          <w:p>
            <w:r>
              <w:rPr>
                <w:rFonts w:ascii="Calibri" w:hAnsi="Calibri"/>
                <w:sz w:val="22"/>
              </w:rPr>
              <w:t>TYL</w:t>
            </w:r>
          </w:p>
        </w:tc>
        <w:tc>
          <w:tcPr>
            <w:tcW w:type="dxa" w:w="2160"/>
          </w:tcPr>
          <w:p>
            <w:r>
              <w:rPr>
                <w:rFonts w:ascii="Calibri" w:hAnsi="Calibri"/>
                <w:sz w:val="22"/>
              </w:rPr>
              <w:t>$356.01</w:t>
            </w:r>
          </w:p>
        </w:tc>
        <w:tc>
          <w:tcPr>
            <w:tcW w:type="dxa" w:w="2160"/>
          </w:tcPr>
          <w:p>
            <w:r>
              <w:rPr>
                <w:rFonts w:ascii="Calibri" w:hAnsi="Calibri"/>
                <w:sz w:val="22"/>
              </w:rPr>
              <w:t>$333.35</w:t>
            </w:r>
          </w:p>
        </w:tc>
        <w:tc>
          <w:tcPr>
            <w:tcW w:type="dxa" w:w="2160"/>
          </w:tcPr>
          <w:p>
            <w:r>
              <w:rPr>
                <w:rFonts w:ascii="Calibri" w:hAnsi="Calibri"/>
                <w:b/>
                <w:color w:val="E5484D"/>
                <w:sz w:val="22"/>
              </w:rPr>
              <w:t>-6.4%</w:t>
            </w:r>
          </w:p>
        </w:tc>
      </w:tr>
      <w:tr>
        <w:tc>
          <w:tcPr>
            <w:tcW w:type="dxa" w:w="2160"/>
          </w:tcPr>
          <w:p>
            <w:r>
              <w:rPr>
                <w:rFonts w:ascii="Calibri" w:hAnsi="Calibri"/>
                <w:sz w:val="22"/>
              </w:rPr>
              <w:t>IGV (iShares Expanded Tech-Software ETF)</w:t>
            </w:r>
          </w:p>
        </w:tc>
        <w:tc>
          <w:tcPr>
            <w:tcW w:type="dxa" w:w="2160"/>
          </w:tcPr>
          <w:p>
            <w:r>
              <w:rPr>
                <w:rFonts w:ascii="Calibri" w:hAnsi="Calibri"/>
                <w:sz w:val="22"/>
              </w:rPr>
              <w:t>$84.50</w:t>
            </w:r>
          </w:p>
        </w:tc>
        <w:tc>
          <w:tcPr>
            <w:tcW w:type="dxa" w:w="2160"/>
          </w:tcPr>
          <w:p>
            <w:r>
              <w:rPr>
                <w:rFonts w:ascii="Calibri" w:hAnsi="Calibri"/>
                <w:sz w:val="22"/>
              </w:rPr>
              <w:t>$91.78</w:t>
            </w:r>
          </w:p>
        </w:tc>
        <w:tc>
          <w:tcPr>
            <w:tcW w:type="dxa" w:w="2160"/>
          </w:tcPr>
          <w:p>
            <w:r>
              <w:rPr>
                <w:rFonts w:ascii="Calibri" w:hAnsi="Calibri"/>
                <w:b/>
                <w:color w:val="30A46C"/>
                <w:sz w:val="22"/>
              </w:rPr>
              <w:t>+8.6%</w:t>
            </w:r>
          </w:p>
        </w:tc>
      </w:tr>
      <w:tr>
        <w:tc>
          <w:tcPr>
            <w:tcW w:type="dxa" w:w="2160"/>
          </w:tcPr>
          <w:p>
            <w:r>
              <w:rPr>
                <w:rFonts w:ascii="Calibri" w:hAnsi="Calibri"/>
                <w:sz w:val="22"/>
              </w:rPr>
              <w:t>SPY (S&amp;P 500 ETF)</w:t>
            </w:r>
          </w:p>
        </w:tc>
        <w:tc>
          <w:tcPr>
            <w:tcW w:type="dxa" w:w="2160"/>
          </w:tcPr>
          <w:p>
            <w:r>
              <w:rPr>
                <w:rFonts w:ascii="Calibri" w:hAnsi="Calibri"/>
                <w:sz w:val="22"/>
              </w:rPr>
              <w:t>$711.58</w:t>
            </w:r>
          </w:p>
        </w:tc>
        <w:tc>
          <w:tcPr>
            <w:tcW w:type="dxa" w:w="2160"/>
          </w:tcPr>
          <w:p>
            <w:r>
              <w:rPr>
                <w:rFonts w:ascii="Calibri" w:hAnsi="Calibri"/>
                <w:sz w:val="22"/>
              </w:rPr>
              <w:t>$740.86</w:t>
            </w:r>
          </w:p>
        </w:tc>
        <w:tc>
          <w:tcPr>
            <w:tcW w:type="dxa" w:w="2160"/>
          </w:tcPr>
          <w:p>
            <w:r>
              <w:rPr>
                <w:rFonts w:ascii="Calibri" w:hAnsi="Calibri"/>
                <w:b/>
                <w:color w:val="30A46C"/>
                <w:sz w:val="22"/>
              </w:rPr>
              <w:t>+4.1%</w:t>
            </w:r>
          </w:p>
        </w:tc>
      </w:tr>
    </w:tbl>
    <w:p>
      <w:r>
        <w:rPr>
          <w:rFonts w:ascii="Calibri" w:hAnsi="Calibri"/>
          <w:color w:val="525866"/>
          <w:sz w:val="22"/>
        </w:rPr>
        <w:t>Key Events Since Q1 Earnings (April 29, 2026):</w:t>
      </w:r>
    </w:p>
    <w:p>
      <w:pPr>
        <w:pStyle w:val="ListBullet"/>
        <w:ind w:left="360" w:hanging="360"/>
      </w:pPr>
      <w:r>
        <w:rPr>
          <w:rFonts w:ascii="Calibri" w:hAnsi="Calibri"/>
          <w:b/>
          <w:color w:val="525866"/>
          <w:sz w:val="22"/>
        </w:rPr>
        <w:t xml:space="preserve">May 11–14, 2026: </w:t>
      </w:r>
      <w:r>
        <w:rPr>
          <w:rFonts w:ascii="Calibri" w:hAnsi="Calibri"/>
          <w:color w:val="525866"/>
          <w:sz w:val="22"/>
        </w:rPr>
        <w:t>Tyler priced and closed a $1.44B convertible note offering (0.50% coupon, due 2031) and concurrently repurchased ~1.03M shares for ~$320.7M. Stock initially sold off on dilution concerns before recovering as the accretive EPS impact was clarified.</w:t>
      </w:r>
    </w:p>
    <w:p>
      <w:pPr>
        <w:pStyle w:val="ListBullet"/>
        <w:ind w:left="360" w:hanging="360"/>
      </w:pPr>
      <w:r>
        <w:rPr>
          <w:rFonts w:ascii="Calibri" w:hAnsi="Calibri"/>
          <w:b/>
          <w:color w:val="525866"/>
          <w:sz w:val="22"/>
        </w:rPr>
        <w:t xml:space="preserve">June 9, 2026: </w:t>
      </w:r>
      <w:r>
        <w:rPr>
          <w:rFonts w:ascii="Calibri" w:hAnsi="Calibri"/>
          <w:color w:val="525866"/>
          <w:sz w:val="22"/>
        </w:rPr>
        <w:t>Investor Day — raised FY2026 EPS guidance by $0.30 on both ends; raised 2030 targets across all metrics (ARR, FCF, operating margin, SaaS CAGR). Stock rallied ~7% on the day before giving back gains.</w:t>
      </w:r>
    </w:p>
    <w:p>
      <w:pPr>
        <w:pStyle w:val="ListBullet"/>
        <w:ind w:left="360" w:hanging="360"/>
      </w:pPr>
      <w:r>
        <w:rPr>
          <w:rFonts w:ascii="Calibri" w:hAnsi="Calibri"/>
          <w:b/>
          <w:color w:val="525866"/>
          <w:sz w:val="22"/>
        </w:rPr>
        <w:t xml:space="preserve">June 12, 2026: </w:t>
      </w:r>
      <w:r>
        <w:rPr>
          <w:rFonts w:ascii="Calibri" w:hAnsi="Calibri"/>
          <w:color w:val="525866"/>
          <w:sz w:val="22"/>
        </w:rPr>
        <w:t>8-K filing (content not material to earnings setup).</w:t>
      </w:r>
    </w:p>
    <w:p>
      <w:pPr>
        <w:pStyle w:val="ListBullet"/>
        <w:ind w:left="360" w:hanging="360"/>
      </w:pPr>
      <w:r>
        <w:rPr>
          <w:rFonts w:ascii="Calibri" w:hAnsi="Calibri"/>
          <w:b/>
          <w:color w:val="525866"/>
          <w:sz w:val="22"/>
        </w:rPr>
        <w:t xml:space="preserve">Late June – July 22, 2026: </w:t>
      </w:r>
      <w:r>
        <w:rPr>
          <w:rFonts w:ascii="Calibri" w:hAnsi="Calibri"/>
          <w:color w:val="525866"/>
          <w:sz w:val="22"/>
        </w:rPr>
        <w:t>Stock declined from ~$308 to a low of ~$275, underperforming IGV and SPY materially, as broader software sector rotation and macro uncertainty weighed on high-multiple names.</w:t>
      </w:r>
    </w:p>
    <w:p>
      <w:pPr>
        <w:pStyle w:val="ListBullet"/>
        <w:ind w:left="360" w:hanging="360"/>
      </w:pPr>
      <w:r>
        <w:rPr>
          <w:rFonts w:ascii="Calibri" w:hAnsi="Calibri"/>
          <w:b/>
          <w:color w:val="525866"/>
          <w:sz w:val="22"/>
        </w:rPr>
        <w:t xml:space="preserve">July 27–29, 2026: </w:t>
      </w:r>
      <w:r>
        <w:rPr>
          <w:rFonts w:ascii="Calibri" w:hAnsi="Calibri"/>
          <w:color w:val="525866"/>
          <w:sz w:val="22"/>
        </w:rPr>
        <w:t>Stock recovered sharply from ~$288 to ~$333 (+15.7% in 3 days) ahead of earnings, suggesting pre-print positioning or early read-through from peers (ROP, SSNC reported July 23).</w:t>
      </w:r>
    </w:p>
    <w:p>
      <w:r>
        <w:rPr>
          <w:rFonts w:ascii="Calibri" w:hAnsi="Calibri"/>
          <w:b/>
          <w:color w:val="525866"/>
          <w:sz w:val="22"/>
        </w:rPr>
        <w:t xml:space="preserve">Valuation Context: </w:t>
      </w:r>
      <w:r>
        <w:rPr>
          <w:rFonts w:ascii="Calibri" w:hAnsi="Calibri"/>
          <w:color w:val="525866"/>
          <w:sz w:val="22"/>
        </w:rPr>
        <w:t>NTM EV/EBITDA has compressed from ~24x (6 months ago) to ~16x today — a 33% multiple contraction that management characterized as a ~15-year low relative to the company's fundamental strength. NTM P/E is ~22x and NTM P/FCF is ~18x. The stock's underperformance is almost entirely a multiple story, not an earnings story, which is the key setup dynamic heading into Q2.</w:t>
      </w:r>
    </w:p>
    <w:p>
      <w:r>
        <w:rPr>
          <w:rFonts w:ascii="Calibri" w:hAnsi="Calibri"/>
          <w:b/>
          <w:color w:val="525866"/>
          <w:sz w:val="22"/>
        </w:rPr>
        <w:t xml:space="preserve">Source: </w:t>
      </w:r>
      <w:r>
        <w:rPr>
          <w:rFonts w:ascii="Calibri" w:hAnsi="Calibri"/>
          <w:color w:val="525866"/>
          <w:sz w:val="22"/>
        </w:rPr>
        <w:t>Stock Price Data (Yahoo Finance); Stock Performance Decomposition (NTM consensus multiples).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June 9 Investor Day</w:t>
      </w:r>
      <w:r>
        <w:rPr>
          <w:rFonts w:ascii="Calibri" w:hAnsi="Calibri"/>
          <w:color w:val="525866"/>
          <w:sz w:val="22"/>
        </w:rPr>
        <w:t>, which raised FY2026 EPS guidance and dramatically upgraded 2030 targets — the clearest signal yet that management views the current stock price as deeply undervalued and is deploying capital aggressively to prove it. The May convertible note offering and share repurchase are the second most material event, adding ~$0.30 to FY2026 EPS and reducing share count by ~1%.</w:t>
      </w:r>
    </w:p>
    <w:p>
      <w:pPr>
        <w:pStyle w:val="ListBullet"/>
        <w:ind w:left="360" w:hanging="360"/>
      </w:pPr>
      <w:r>
        <w:rPr>
          <w:rFonts w:ascii="Calibri" w:hAnsi="Calibri"/>
          <w:b/>
          <w:color w:val="525866"/>
          <w:sz w:val="22"/>
        </w:rPr>
        <w:t xml:space="preserve">June 9, 2026 — Investor Day (Most Material): </w:t>
      </w:r>
      <w:r>
        <w:rPr>
          <w:rFonts w:ascii="Calibri" w:hAnsi="Calibri"/>
          <w:color w:val="525866"/>
          <w:sz w:val="22"/>
        </w:rPr>
        <w:t xml:space="preserve">Tyler raised FY2026 non-GAAP EPS guidance by $0.30 on both ends (to $12.80–$13.05) and significantly upgraded 2030 targets: ARR to $3.3B–$3.4B, FCF to $1.1B–$1.2B, operating margin to mid-30s, FCF margin to low-30s, SaaS CAGR to ~20%. Management disclosed ~$6B of total capital deployment capacity over the next 5 years. </w:t>
      </w:r>
    </w:p>
    <w:p>
      <w:pPr>
        <w:pStyle w:val="ListBullet"/>
        <w:ind w:left="360" w:hanging="360"/>
      </w:pPr>
      <w:r>
        <w:rPr>
          <w:rFonts w:ascii="Calibri" w:hAnsi="Calibri"/>
          <w:b/>
          <w:i/>
          <w:color w:val="525866"/>
          <w:sz w:val="22"/>
        </w:rPr>
        <w:t xml:space="preserve">Implication: </w:t>
      </w:r>
      <w:r>
        <w:rPr>
          <w:rFonts w:ascii="Calibri" w:hAnsi="Calibri"/>
          <w:i/>
          <w:color w:val="525866"/>
          <w:sz w:val="22"/>
        </w:rPr>
        <w:t>Raises the long-term earnings power narrative and provides a credible framework for re-rating; the 2030 targets imply ~1,000 bps of operating margin expansion from current levels.</w:t>
      </w:r>
    </w:p>
    <w:p>
      <w:pPr>
        <w:pStyle w:val="ListBullet"/>
        <w:ind w:left="360" w:hanging="360"/>
      </w:pPr>
      <w:r>
        <w:rPr>
          <w:rFonts w:ascii="Calibri" w:hAnsi="Calibri"/>
          <w:b/>
          <w:color w:val="525866"/>
          <w:sz w:val="22"/>
        </w:rPr>
        <w:t xml:space="preserve">May 11–14, 2026 — $1.44B Convertible Note Offering &amp; Share Repurchase: </w:t>
      </w:r>
      <w:r>
        <w:rPr>
          <w:rFonts w:ascii="Calibri" w:hAnsi="Calibri"/>
          <w:color w:val="525866"/>
          <w:sz w:val="22"/>
        </w:rPr>
        <w:t xml:space="preserve">Tyler issued $1.4375B of 0.50% convertible notes due 2031 (initial conversion price ~$405.94/share; capped call protection to ~$655.77/share) and used ~$320.7M of proceeds to repurchase ~1.03M shares. Including Q1 repurchases, ~2.1M shares (~5% of outstanding) have been repurchased in 2026 at an average of ~$315. </w:t>
      </w:r>
    </w:p>
    <w:p>
      <w:pPr>
        <w:pStyle w:val="ListBullet"/>
        <w:ind w:left="360" w:hanging="360"/>
      </w:pPr>
      <w:r>
        <w:rPr>
          <w:rFonts w:ascii="Calibri" w:hAnsi="Calibri"/>
          <w:b/>
          <w:i/>
          <w:color w:val="525866"/>
          <w:sz w:val="22"/>
        </w:rPr>
        <w:t xml:space="preserve">Implication: </w:t>
      </w:r>
      <w:r>
        <w:rPr>
          <w:rFonts w:ascii="Calibri" w:hAnsi="Calibri"/>
          <w:i/>
          <w:color w:val="525866"/>
          <w:sz w:val="22"/>
        </w:rPr>
        <w:t>Accretive to FY2026 EPS (+$0.30); signals management conviction that the stock is undervalued; capped call structure limits dilution up to $655/share.</w:t>
      </w:r>
    </w:p>
    <w:p>
      <w:pPr>
        <w:pStyle w:val="ListBullet"/>
        <w:ind w:left="360" w:hanging="360"/>
      </w:pPr>
      <w:r>
        <w:rPr>
          <w:rFonts w:ascii="Calibri" w:hAnsi="Calibri"/>
          <w:b/>
          <w:color w:val="525866"/>
          <w:sz w:val="22"/>
        </w:rPr>
        <w:t xml:space="preserve">April 14, 2026 — For The Record (FTR) Acquisition Closed: </w:t>
      </w:r>
      <w:r>
        <w:rPr>
          <w:rFonts w:ascii="Calibri" w:hAnsi="Calibri"/>
          <w:color w:val="525866"/>
          <w:sz w:val="22"/>
        </w:rPr>
        <w:t xml:space="preserve">Tyler completed the acquisition of FTR for ~$223M in cash — its third-largest acquisition ever. FTR's AI-powered legal-grade speech-to-text and transcription technology is deployed in ~45% of U.S. courtrooms. Expected to add ~$30M of revenue to FY2026 and a modest amount to EPS. </w:t>
      </w:r>
    </w:p>
    <w:p>
      <w:pPr>
        <w:pStyle w:val="ListBullet"/>
        <w:ind w:left="360" w:hanging="360"/>
      </w:pPr>
      <w:r>
        <w:rPr>
          <w:rFonts w:ascii="Calibri" w:hAnsi="Calibri"/>
          <w:b/>
          <w:i/>
          <w:color w:val="525866"/>
          <w:sz w:val="22"/>
        </w:rPr>
        <w:t xml:space="preserve">Implication: </w:t>
      </w:r>
      <w:r>
        <w:rPr>
          <w:rFonts w:ascii="Calibri" w:hAnsi="Calibri"/>
          <w:i/>
          <w:color w:val="525866"/>
          <w:sz w:val="22"/>
        </w:rPr>
        <w:t>Expands the justice portfolio TAM to potentially &gt;$1B through "judicial intelligence" (combining Tyler's court case management with FTR's recording/transcription); FTR's own SaaS transition expected to accelerate at or above Tyler's overall pace.</w:t>
      </w:r>
    </w:p>
    <w:p>
      <w:pPr>
        <w:pStyle w:val="ListBullet"/>
        <w:ind w:left="360" w:hanging="360"/>
      </w:pPr>
      <w:r>
        <w:rPr>
          <w:rFonts w:ascii="Calibri" w:hAnsi="Calibri"/>
          <w:b/>
          <w:color w:val="525866"/>
          <w:sz w:val="22"/>
        </w:rPr>
        <w:t xml:space="preserve">May 5, 2026 — Annual Shareholder Meeting: </w:t>
      </w:r>
      <w:r>
        <w:rPr>
          <w:rFonts w:ascii="Calibri" w:hAnsi="Calibri"/>
          <w:color w:val="525866"/>
          <w:sz w:val="22"/>
        </w:rPr>
        <w:t>Directors elected; political spending proposal rejected. No material governance changes.</w:t>
      </w:r>
    </w:p>
    <w:p>
      <w:pPr>
        <w:pStyle w:val="ListBullet"/>
        <w:ind w:left="360" w:hanging="360"/>
      </w:pPr>
      <w:r>
        <w:rPr>
          <w:rFonts w:ascii="Calibri" w:hAnsi="Calibri"/>
          <w:b/>
          <w:color w:val="525866"/>
          <w:sz w:val="22"/>
        </w:rPr>
        <w:t xml:space="preserve">July 15, 2026 — Q2 2026 Earnings Call Announcement: </w:t>
      </w:r>
      <w:r>
        <w:rPr>
          <w:rFonts w:ascii="Calibri" w:hAnsi="Calibri"/>
          <w:color w:val="525866"/>
          <w:sz w:val="22"/>
        </w:rPr>
        <w:t>Tyler confirmed Q2 2026 results will be released after market close July 29, with the conference call on July 30 at 8:30 a.m. ET, hosted by CEO Lynn Moore and CFO Brian Miller.</w:t>
      </w:r>
    </w:p>
    <w:p>
      <w:pPr>
        <w:pStyle w:val="ListBullet"/>
        <w:ind w:left="360" w:hanging="360"/>
      </w:pPr>
      <w:r>
        <w:rPr>
          <w:rFonts w:ascii="Calibri" w:hAnsi="Calibri"/>
          <w:b/>
          <w:color w:val="525866"/>
          <w:sz w:val="22"/>
        </w:rPr>
        <w:t xml:space="preserve">Ongoing — AI Monetization Traction: </w:t>
      </w:r>
      <w:r>
        <w:rPr>
          <w:rFonts w:ascii="Calibri" w:hAnsi="Calibri"/>
          <w:color w:val="525866"/>
          <w:sz w:val="22"/>
        </w:rPr>
        <w:t xml:space="preserve">Management cited concrete AI deal wins at the Q1 call: Miami-Dade document automation deal at ~$800K (vs. prior maintenance of ~$250K, a ~3x uplift); Harris County document automation deal approaching $1M; Placer County supervision software nearly doubled with AI add-on. Tyler Foundry (agentic AI platform) launched at Connect conference; 25 agents expected in production across 100% of flagship products by end of 2026. </w:t>
      </w:r>
    </w:p>
    <w:p>
      <w:pPr>
        <w:pStyle w:val="ListBullet"/>
        <w:ind w:left="360" w:hanging="360"/>
      </w:pPr>
      <w:r>
        <w:rPr>
          <w:rFonts w:ascii="Calibri" w:hAnsi="Calibri"/>
          <w:b/>
          <w:i/>
          <w:color w:val="525866"/>
          <w:sz w:val="22"/>
        </w:rPr>
        <w:t xml:space="preserve">Implication: </w:t>
      </w:r>
      <w:r>
        <w:rPr>
          <w:rFonts w:ascii="Calibri" w:hAnsi="Calibri"/>
          <w:i/>
          <w:color w:val="525866"/>
          <w:sz w:val="22"/>
        </w:rPr>
        <w:t>AI is beginning to generate measurable revenue uplift on existing maintenance relationships; the monetization model (outcome-based, fixed-fee, no per-token pricing) is well-suited to public sector budget predictability requirements.</w:t>
      </w:r>
    </w:p>
    <w:p>
      <w:pPr>
        <w:pStyle w:val="ListBullet"/>
        <w:ind w:left="360" w:hanging="360"/>
      </w:pPr>
      <w:r>
        <w:rPr>
          <w:rFonts w:ascii="Calibri" w:hAnsi="Calibri"/>
          <w:b/>
          <w:color w:val="525866"/>
          <w:sz w:val="22"/>
        </w:rPr>
        <w:t xml:space="preserve">Ongoing — Cloud Transition Phase 2 ("Cloud Living"): </w:t>
      </w:r>
      <w:r>
        <w:rPr>
          <w:rFonts w:ascii="Calibri" w:hAnsi="Calibri"/>
          <w:color w:val="525866"/>
          <w:sz w:val="22"/>
        </w:rPr>
        <w:t xml:space="preserve">Tyler completed its data center exit (Dallas and Yarmouth) at end-2025 on time and on budget; all cloud customers now on AWS. Phase 2 ("Cloud Living") targets a single release stream with continuous delivery across all core products, with early pilot launches in 2027. Management flagged AI features will increasingly be cloud-only, adding a new incentive for on-prem customers to migrate. </w:t>
      </w:r>
    </w:p>
    <w:p>
      <w:pPr>
        <w:pStyle w:val="ListBullet"/>
        <w:ind w:left="360" w:hanging="360"/>
      </w:pPr>
      <w:r>
        <w:rPr>
          <w:rFonts w:ascii="Calibri" w:hAnsi="Calibri"/>
          <w:b/>
          <w:i/>
          <w:color w:val="525866"/>
          <w:sz w:val="22"/>
        </w:rPr>
        <w:t xml:space="preserve">Implication: </w:t>
      </w:r>
      <w:r>
        <w:rPr>
          <w:rFonts w:ascii="Calibri" w:hAnsi="Calibri"/>
          <w:i/>
          <w:color w:val="525866"/>
          <w:sz w:val="22"/>
        </w:rPr>
        <w:t>Cloud gross margin leverage is beginning to flow through; version consolidation and cloud optimization expected to drive further improvement; peak flip activity expected in 2027–2029 window.</w:t>
      </w:r>
    </w:p>
    <w:p>
      <w:pPr>
        <w:pStyle w:val="ListBullet"/>
        <w:ind w:left="360" w:hanging="360"/>
      </w:pPr>
      <w:r>
        <w:rPr>
          <w:rFonts w:ascii="Calibri" w:hAnsi="Calibri"/>
          <w:b/>
          <w:color w:val="525866"/>
          <w:sz w:val="22"/>
        </w:rPr>
        <w:t xml:space="preserve">Ongoing — California State Parks &amp; Statewide Motor Vehicle Titling Deals: </w:t>
      </w:r>
      <w:r>
        <w:rPr>
          <w:rFonts w:ascii="Calibri" w:hAnsi="Calibri"/>
          <w:color w:val="525866"/>
          <w:sz w:val="22"/>
        </w:rPr>
        <w:t xml:space="preserve">Two major transaction-funded software deals (California State Parks outdoor recreation software — largest deal in Tyler's history by TCV; statewide digital motor vehicle titling solution expected to generate &gt;$20M/year at full ramp starting H1 2027) are structurally invisible in SaaS bookings but represent significant future transaction revenue. </w:t>
      </w:r>
    </w:p>
    <w:p>
      <w:pPr>
        <w:pStyle w:val="ListBullet"/>
        <w:ind w:left="360" w:hanging="360"/>
      </w:pPr>
      <w:r>
        <w:rPr>
          <w:rFonts w:ascii="Calibri" w:hAnsi="Calibri"/>
          <w:b/>
          <w:i/>
          <w:color w:val="525866"/>
          <w:sz w:val="22"/>
        </w:rPr>
        <w:t xml:space="preserve">Implication: </w:t>
      </w:r>
      <w:r>
        <w:rPr>
          <w:rFonts w:ascii="Calibri" w:hAnsi="Calibri"/>
          <w:i/>
          <w:color w:val="525866"/>
          <w:sz w:val="22"/>
        </w:rPr>
        <w:t>Traditional SaaS bookings metrics understate Tyler's true demand momentum; transaction revenue growth may be more durable than the Texas roll-off headwind implies.</w:t>
      </w:r>
    </w:p>
    <w:p>
      <w:r>
        <w:rPr>
          <w:rFonts w:ascii="Calibri" w:hAnsi="Calibri"/>
          <w:b/>
          <w:color w:val="525866"/>
          <w:sz w:val="22"/>
        </w:rPr>
        <w:t xml:space="preserve">Source: </w:t>
      </w:r>
      <w:r>
        <w:rPr>
          <w:rFonts w:ascii="Calibri" w:hAnsi="Calibri"/>
          <w:color w:val="525866"/>
          <w:sz w:val="22"/>
        </w:rPr>
        <w:t>Roper Technologies Q2 2026 Earnings Call Transcript (July 23, 2026).</w:t>
      </w:r>
    </w:p>
    <w:p>
      <w:pPr>
        <w:pStyle w:val="Heading2"/>
      </w:pPr>
      <w:r>
        <w:rPr>
          <w:rFonts w:ascii="Calibri" w:hAnsi="Calibri"/>
          <w:b/>
          <w:color w:val="3B4259"/>
          <w:sz w:val="28"/>
        </w:rPr>
        <w:t>SS&amp;C Technologies (SSNC) — Q2 2026 Earnings Call (July 23, 2026)</w:t>
      </w:r>
    </w:p>
    <w:p>
      <w:r>
        <w:rPr>
          <w:rFonts w:ascii="Calibri" w:hAnsi="Calibri"/>
          <w:b/>
          <w:color w:val="525866"/>
          <w:sz w:val="22"/>
        </w:rPr>
        <w:t xml:space="preserve">Forward Period Referenced: </w:t>
      </w:r>
      <w:r>
        <w:rPr>
          <w:rFonts w:ascii="Calibri" w:hAnsi="Calibri"/>
          <w:color w:val="525866"/>
          <w:sz w:val="22"/>
        </w:rPr>
        <w:t>Q3 2026 and full-year 2026 outlook</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SSNC Commentary (Forward-Looking)</w:t>
            </w:r>
          </w:p>
        </w:tc>
        <w:tc>
          <w:tcPr>
            <w:tcW w:type="dxa" w:w="2880"/>
            <w:shd w:val="clear" w:color="auto" w:fill="3B4259"/>
          </w:tcPr>
          <w:p>
            <w:r>
              <w:rPr>
                <w:rFonts w:ascii="Calibri" w:hAnsi="Calibri"/>
                <w:b/>
                <w:color w:val="FFFFFF"/>
                <w:sz w:val="22"/>
              </w:rPr>
              <w:t>Read-Through for TYL Q2 2026</w:t>
            </w:r>
          </w:p>
        </w:tc>
      </w:tr>
      <w:tr>
        <w:tc>
          <w:tcPr>
            <w:tcW w:type="dxa" w:w="2880"/>
          </w:tcPr>
          <w:p>
            <w:r>
              <w:rPr>
                <w:rFonts w:ascii="Calibri" w:hAnsi="Calibri"/>
                <w:sz w:val="22"/>
              </w:rPr>
              <w:t>Pipeline &amp; Bookings Outlook</w:t>
            </w:r>
          </w:p>
        </w:tc>
        <w:tc>
          <w:tcPr>
            <w:tcW w:type="dxa" w:w="2880"/>
          </w:tcPr>
          <w:p>
            <w:r>
              <w:rPr>
                <w:rFonts w:ascii="Calibri" w:hAnsi="Calibri"/>
                <w:sz w:val="22"/>
              </w:rPr>
              <w:t>"Our pipeline is full of opportunities. There are some renewals coming up as well. So we have opportunities to outperform." Q3 2026 revenue guidance: ~$970M range; 5% organic growth at midpoint. Retention rates expected to remain in line with recent results.</w:t>
            </w:r>
          </w:p>
        </w:tc>
        <w:tc>
          <w:tcPr>
            <w:tcW w:type="dxa" w:w="2880"/>
          </w:tcPr>
          <w:p>
            <w:r>
              <w:rPr>
                <w:rFonts w:ascii="Calibri" w:hAnsi="Calibri"/>
                <w:sz w:val="22"/>
              </w:rPr>
              <w:t>Positive read-through. A full pipeline with renewal opportunities and stable retention rates in enterprise software is consistent with Tyler's own "robust" demand commentary. SSNC's 5% organic growth guidance for Q3 is modest but the pipeline commentary is more bullish than the headline number.</w:t>
            </w:r>
          </w:p>
        </w:tc>
      </w:tr>
      <w:tr>
        <w:tc>
          <w:tcPr>
            <w:tcW w:type="dxa" w:w="2880"/>
          </w:tcPr>
          <w:p>
            <w:r>
              <w:rPr>
                <w:rFonts w:ascii="Calibri" w:hAnsi="Calibri"/>
                <w:sz w:val="22"/>
              </w:rPr>
              <w:t>AI Monetization &amp; Margin Expansion</w:t>
            </w:r>
          </w:p>
        </w:tc>
        <w:tc>
          <w:tcPr>
            <w:tcW w:type="dxa" w:w="2880"/>
          </w:tcPr>
          <w:p>
            <w:r>
              <w:rPr>
                <w:rFonts w:ascii="Calibri" w:hAnsi="Calibri"/>
                <w:sz w:val="22"/>
              </w:rPr>
              <w:t>"We're deploying AI across our products and operations, and it is one of the drivers of the growth and margin expansion." Approach is "governance first and proven internally before it reaches customers." Seeing "established enterprises choosing SSNC to move their automation efforts to agentic AI." Expects "very material ways to improve margins through adaptation of AI agents."</w:t>
            </w:r>
          </w:p>
        </w:tc>
        <w:tc>
          <w:tcPr>
            <w:tcW w:type="dxa" w:w="2880"/>
          </w:tcPr>
          <w:p>
            <w:r>
              <w:rPr>
                <w:rFonts w:ascii="Calibri" w:hAnsi="Calibri"/>
                <w:sz w:val="22"/>
              </w:rPr>
              <w:t>Positive read-through for Tyler's AI strategy. The "governance first" approach and focus on regulated industries mirrors Tyler's positioning in the risk-averse public sector. Agentic AI adoption by established enterprises validates Tyler's Tyler Foundry platform launch and the 25-agent-by-year-end target.</w:t>
            </w:r>
          </w:p>
        </w:tc>
      </w:tr>
      <w:tr>
        <w:tc>
          <w:tcPr>
            <w:tcW w:type="dxa" w:w="2880"/>
          </w:tcPr>
          <w:p>
            <w:r>
              <w:rPr>
                <w:rFonts w:ascii="Calibri" w:hAnsi="Calibri"/>
                <w:sz w:val="22"/>
              </w:rPr>
              <w:t>Government Spending Signals</w:t>
            </w:r>
          </w:p>
        </w:tc>
        <w:tc>
          <w:tcPr>
            <w:tcW w:type="dxa" w:w="2880"/>
          </w:tcPr>
          <w:p>
            <w:r>
              <w:rPr>
                <w:rFonts w:ascii="Calibri" w:hAnsi="Calibri"/>
                <w:sz w:val="22"/>
              </w:rPr>
              <w:t>Medicare GLP-1 bridge program launched July 1 — nearly 3M claims processed via SSNC's platform. CEO noted government programs can be volatile ("it's the government... probably 50/50" on continuation) but also that "if we can deliver a great service and the government likes what we do, seems to me they spend a lot of money."</w:t>
            </w:r>
          </w:p>
        </w:tc>
        <w:tc>
          <w:tcPr>
            <w:tcW w:type="dxa" w:w="2880"/>
          </w:tcPr>
          <w:p>
            <w:r>
              <w:rPr>
                <w:rFonts w:ascii="Calibri" w:hAnsi="Calibri"/>
                <w:sz w:val="22"/>
              </w:rPr>
              <w:t>Mixed read-through. Government willingness to spend on effective technology solutions is a positive signal for Tyler's public-sector demand. The inherent volatility of government program continuity is a known risk for Tyler but less acute given Tyler's mission-critical, multi-year contract structure vs. SSNC's program-specific exposure.</w:t>
            </w:r>
          </w:p>
        </w:tc>
      </w:tr>
    </w:tbl>
    <w:p>
      <w:r>
        <w:rPr>
          <w:rFonts w:ascii="Calibri" w:hAnsi="Calibri"/>
          <w:b/>
          <w:color w:val="525866"/>
          <w:sz w:val="22"/>
        </w:rPr>
        <w:t xml:space="preserve">Source: </w:t>
      </w:r>
      <w:r>
        <w:rPr>
          <w:rFonts w:ascii="Calibri" w:hAnsi="Calibri"/>
          <w:color w:val="525866"/>
          <w:sz w:val="22"/>
        </w:rPr>
        <w:t>SS&amp;C Technologies Q2 2026 Earnings Call Transcript (July 23, 2026).</w:t>
      </w:r>
    </w:p>
    <w:p>
      <w:pPr>
        <w:pStyle w:val="Heading2"/>
      </w:pPr>
      <w:r>
        <w:rPr>
          <w:rFonts w:ascii="Calibri" w:hAnsi="Calibri"/>
          <w:b/>
          <w:color w:val="3B4259"/>
          <w:sz w:val="28"/>
        </w:rPr>
        <w:t>Pegasystems (PEGA) — Q2 2026 Earnings Call (July 22, 2026)</w:t>
      </w:r>
    </w:p>
    <w:p>
      <w:r>
        <w:rPr>
          <w:rFonts w:ascii="Calibri" w:hAnsi="Calibri"/>
          <w:b/>
          <w:color w:val="525866"/>
          <w:sz w:val="22"/>
        </w:rPr>
        <w:t xml:space="preserve">Forward Period Referenced: </w:t>
      </w:r>
      <w:r>
        <w:rPr>
          <w:rFonts w:ascii="Calibri" w:hAnsi="Calibri"/>
          <w:color w:val="525866"/>
          <w:sz w:val="22"/>
        </w:rPr>
        <w:t>H2 2026 and Q3 2026 outlook</w:t>
      </w:r>
    </w:p>
    <w:p>
      <w:r>
        <w:rPr>
          <w:rFonts w:ascii="Calibri" w:hAnsi="Calibri"/>
          <w:b/>
          <w:color w:val="525866"/>
          <w:sz w:val="22"/>
        </w:rPr>
        <w:t xml:space="preserve">Relevance Caveat: </w:t>
      </w:r>
      <w:r>
        <w:rPr>
          <w:rFonts w:ascii="Calibri" w:hAnsi="Calibri"/>
          <w:i/>
          <w:color w:val="525866"/>
          <w:sz w:val="22"/>
        </w:rPr>
        <w:t>PEGA's primary exposure is to large private-sector enterprises (financial services, insurance, healthcare) rather than government. The read-through to Tyler's public-sector demand is limited but the AI monetization and buying cycle commentary is broadly relevant to enterprise software.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PEGA Commentary (Forward-Looking)</w:t>
            </w:r>
          </w:p>
        </w:tc>
        <w:tc>
          <w:tcPr>
            <w:tcW w:type="dxa" w:w="2880"/>
            <w:shd w:val="clear" w:color="auto" w:fill="3B4259"/>
          </w:tcPr>
          <w:p>
            <w:r>
              <w:rPr>
                <w:rFonts w:ascii="Calibri" w:hAnsi="Calibri"/>
                <w:b/>
                <w:color w:val="FFFFFF"/>
                <w:sz w:val="22"/>
              </w:rPr>
              <w:t>Read-Through for TYL Q2 2026</w:t>
            </w:r>
          </w:p>
        </w:tc>
      </w:tr>
      <w:tr>
        <w:tc>
          <w:tcPr>
            <w:tcW w:type="dxa" w:w="2880"/>
          </w:tcPr>
          <w:p>
            <w:r>
              <w:rPr>
                <w:rFonts w:ascii="Calibri" w:hAnsi="Calibri"/>
                <w:sz w:val="22"/>
              </w:rPr>
              <w:t>Bookings &amp; Demand Outlook (H2 2026)</w:t>
            </w:r>
          </w:p>
        </w:tc>
        <w:tc>
          <w:tcPr>
            <w:tcW w:type="dxa" w:w="2880"/>
          </w:tcPr>
          <w:p>
            <w:r>
              <w:rPr>
                <w:rFonts w:ascii="Calibri" w:hAnsi="Calibri"/>
                <w:sz w:val="22"/>
              </w:rPr>
              <w:t>"Given our back-end loaded renewal portfolio and our slower than expected start to the first half of 2026, we definitely have our work cut out for us in the second half." PEGA "significantly underachieved" on H1 bookings and acknowledged it will be "very difficult" to recover the shortfall. H2 "requires stronger execution than we delivered in the first half, particularly in expansion activity." Pipeline is "growing nicely" and late-stage pipeline is "very strong over last year" but conversion has been slow.</w:t>
            </w:r>
          </w:p>
        </w:tc>
        <w:tc>
          <w:tcPr>
            <w:tcW w:type="dxa" w:w="2880"/>
          </w:tcPr>
          <w:p>
            <w:r>
              <w:rPr>
                <w:rFonts w:ascii="Calibri" w:hAnsi="Calibri"/>
                <w:sz w:val="22"/>
              </w:rPr>
              <w:t>Limited direct read-through for Tyler. PEGA's struggles are concentrated in large private-sector enterprise expansion deals — a different buyer profile than Tyler's government clients. Tyler's Q1 bookings were described as "very strong" with no pull-forward, and management cited steady win rates and improving RFP activity. The PEGA miss is more a company-specific execution issue than a sector-wide signal.</w:t>
            </w:r>
          </w:p>
        </w:tc>
      </w:tr>
      <w:tr>
        <w:tc>
          <w:tcPr>
            <w:tcW w:type="dxa" w:w="2880"/>
          </w:tcPr>
          <w:p>
            <w:r>
              <w:rPr>
                <w:rFonts w:ascii="Calibri" w:hAnsi="Calibri"/>
                <w:sz w:val="22"/>
              </w:rPr>
              <w:t>AI Buying Cycle Dynamics</w:t>
            </w:r>
          </w:p>
        </w:tc>
        <w:tc>
          <w:tcPr>
            <w:tcW w:type="dxa" w:w="2880"/>
          </w:tcPr>
          <w:p>
            <w:r>
              <w:rPr>
                <w:rFonts w:ascii="Calibri" w:hAnsi="Calibri"/>
                <w:sz w:val="22"/>
              </w:rPr>
              <w:t>"Cost uncertainty [from per-token AI pricing] is leading many organizations to freeze and try to figure out what's going on." As of Q2 exit, "a more balanced discussion emerging around AI economics and deployment costs" with clients increasingly focused on "measurable business outcomes, governance, and total cost of ownership rather than just experimentation." PEGA's "no per-token costs" model is positioned as a differentiator.</w:t>
            </w:r>
          </w:p>
        </w:tc>
        <w:tc>
          <w:tcPr>
            <w:tcW w:type="dxa" w:w="2880"/>
          </w:tcPr>
          <w:p>
            <w:r>
              <w:rPr>
                <w:rFonts w:ascii="Calibri" w:hAnsi="Calibri"/>
                <w:sz w:val="22"/>
              </w:rPr>
              <w:t>Constructive read-through for Tyler's AI pricing model. The market shift from AI experimentation to ROI-focused, outcome-based purchasing plays directly to Tyler's fixed-fee, size-of-government pricing model (no per-token costs) and its document automation deals with measurable labor savings. Tyler's public-sector clients are inherently more focused on budget predictability and measurable outcomes than PEGA's enterprise clients.</w:t>
            </w:r>
          </w:p>
        </w:tc>
      </w:tr>
      <w:tr>
        <w:tc>
          <w:tcPr>
            <w:tcW w:type="dxa" w:w="2880"/>
          </w:tcPr>
          <w:p>
            <w:r>
              <w:rPr>
                <w:rFonts w:ascii="Calibri" w:hAnsi="Calibri"/>
                <w:sz w:val="22"/>
              </w:rPr>
              <w:t>Cloud Transition Pressure on Maintenance</w:t>
            </w:r>
          </w:p>
        </w:tc>
        <w:tc>
          <w:tcPr>
            <w:tcW w:type="dxa" w:w="2880"/>
          </w:tcPr>
          <w:p>
            <w:r>
              <w:rPr>
                <w:rFonts w:ascii="Calibri" w:hAnsi="Calibri"/>
                <w:sz w:val="22"/>
              </w:rPr>
              <w:t>"Mix shift toward Pega Cloud will continue to put pressure on maintenance and subscription license ACV growth in future periods." Pega Cloud "remains the fastest growing and most important component" of the subscription model. Long-term benefit: "more predictable, higher quality revenue stream, improved cash flow visibility."</w:t>
            </w:r>
          </w:p>
        </w:tc>
        <w:tc>
          <w:tcPr>
            <w:tcW w:type="dxa" w:w="2880"/>
          </w:tcPr>
          <w:p>
            <w:r>
              <w:rPr>
                <w:rFonts w:ascii="Calibri" w:hAnsi="Calibri"/>
                <w:sz w:val="22"/>
              </w:rPr>
              <w:t>Consistent with Tyler's own experience. Tyler's maintenance revenue is expected to continue declining as on-prem clients flip to SaaS — this is a known, managed dynamic, not a surprise. The long-term cash flow visibility benefit is the same thesis Tyler management has articulated for its 2030 targets.</w:t>
            </w:r>
          </w:p>
        </w:tc>
      </w:tr>
    </w:tbl>
    <w:p>
      <w:r>
        <w:rPr>
          <w:rFonts w:ascii="Calibri" w:hAnsi="Calibri"/>
          <w:b/>
          <w:color w:val="525866"/>
          <w:sz w:val="22"/>
        </w:rPr>
        <w:t xml:space="preserve">Source: </w:t>
      </w:r>
      <w:r>
        <w:rPr>
          <w:rFonts w:ascii="Calibri" w:hAnsi="Calibri"/>
          <w:color w:val="525866"/>
          <w:sz w:val="22"/>
        </w:rPr>
        <w:t>Pegasystems Q2 2026 Earnings Call Transcript (July 22, 2026).</w:t>
      </w:r>
    </w:p>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Forward Period</w:t>
            </w:r>
          </w:p>
        </w:tc>
        <w:tc>
          <w:tcPr>
            <w:tcW w:type="dxa" w:w="1728"/>
            <w:shd w:val="clear" w:color="auto" w:fill="3B4259"/>
          </w:tcPr>
          <w:p>
            <w:r>
              <w:rPr>
                <w:rFonts w:ascii="Calibri" w:hAnsi="Calibri"/>
                <w:b/>
                <w:color w:val="FFFFFF"/>
                <w:sz w:val="22"/>
              </w:rPr>
              <w:t>Net Read-Through for TYL</w:t>
            </w:r>
          </w:p>
        </w:tc>
        <w:tc>
          <w:tcPr>
            <w:tcW w:type="dxa" w:w="1728"/>
            <w:shd w:val="clear" w:color="auto" w:fill="3B4259"/>
          </w:tcPr>
          <w:p>
            <w:r>
              <w:rPr>
                <w:rFonts w:ascii="Calibri" w:hAnsi="Calibri"/>
                <w:b/>
                <w:color w:val="FFFFFF"/>
                <w:sz w:val="22"/>
              </w:rPr>
              <w:t>Key Signal</w:t>
            </w:r>
          </w:p>
        </w:tc>
      </w:tr>
      <w:tr>
        <w:tc>
          <w:tcPr>
            <w:tcW w:type="dxa" w:w="1728"/>
          </w:tcPr>
          <w:p>
            <w:r>
              <w:rPr>
                <w:rFonts w:ascii="Calibri" w:hAnsi="Calibri"/>
                <w:sz w:val="22"/>
              </w:rPr>
              <w:t>Roper Technologies (ROP)</w:t>
            </w:r>
          </w:p>
        </w:tc>
        <w:tc>
          <w:tcPr>
            <w:tcW w:type="dxa" w:w="1728"/>
          </w:tcPr>
          <w:p>
            <w:r>
              <w:rPr>
                <w:rFonts w:ascii="Calibri" w:hAnsi="Calibri"/>
                <w:sz w:val="22"/>
              </w:rPr>
              <w:t>July 23, 2026</w:t>
            </w:r>
          </w:p>
        </w:tc>
        <w:tc>
          <w:tcPr>
            <w:tcW w:type="dxa" w:w="1728"/>
          </w:tcPr>
          <w:p>
            <w:r>
              <w:rPr>
                <w:rFonts w:ascii="Calibri" w:hAnsi="Calibri"/>
                <w:sz w:val="22"/>
              </w:rPr>
              <w:t>Q3 2026 / H2 2026</w:t>
            </w:r>
          </w:p>
        </w:tc>
        <w:tc>
          <w:tcPr>
            <w:tcW w:type="dxa" w:w="1728"/>
          </w:tcPr>
          <w:p>
            <w:r>
              <w:rPr>
                <w:rFonts w:ascii="Calibri" w:hAnsi="Calibri"/>
                <w:b/>
                <w:color w:val="30A46C"/>
                <w:sz w:val="22"/>
              </w:rPr>
              <w:t>Positive</w:t>
            </w:r>
          </w:p>
        </w:tc>
        <w:tc>
          <w:tcPr>
            <w:tcW w:type="dxa" w:w="1728"/>
          </w:tcPr>
          <w:p>
            <w:r>
              <w:rPr>
                <w:rFonts w:ascii="Calibri" w:hAnsi="Calibri"/>
                <w:sz w:val="22"/>
              </w:rPr>
              <w:t>Accelerating cloud transitions in gov-adjacent software; strong pipelines; AI revenue not material in 2026 (consistent with TYL messaging)</w:t>
            </w:r>
          </w:p>
        </w:tc>
      </w:tr>
      <w:tr>
        <w:tc>
          <w:tcPr>
            <w:tcW w:type="dxa" w:w="1728"/>
          </w:tcPr>
          <w:p>
            <w:r>
              <w:rPr>
                <w:rFonts w:ascii="Calibri" w:hAnsi="Calibri"/>
                <w:sz w:val="22"/>
              </w:rPr>
              <w:t>SS&amp;C Technologies (SSNC)</w:t>
            </w:r>
          </w:p>
        </w:tc>
        <w:tc>
          <w:tcPr>
            <w:tcW w:type="dxa" w:w="1728"/>
          </w:tcPr>
          <w:p>
            <w:r>
              <w:rPr>
                <w:rFonts w:ascii="Calibri" w:hAnsi="Calibri"/>
                <w:sz w:val="22"/>
              </w:rPr>
              <w:t>July 23, 2026</w:t>
            </w:r>
          </w:p>
        </w:tc>
        <w:tc>
          <w:tcPr>
            <w:tcW w:type="dxa" w:w="1728"/>
          </w:tcPr>
          <w:p>
            <w:r>
              <w:rPr>
                <w:rFonts w:ascii="Calibri" w:hAnsi="Calibri"/>
                <w:sz w:val="22"/>
              </w:rPr>
              <w:t>Q3 2026 / FY2026</w:t>
            </w:r>
          </w:p>
        </w:tc>
        <w:tc>
          <w:tcPr>
            <w:tcW w:type="dxa" w:w="1728"/>
          </w:tcPr>
          <w:p>
            <w:r>
              <w:rPr>
                <w:rFonts w:ascii="Calibri" w:hAnsi="Calibri"/>
                <w:b/>
                <w:color w:val="30A46C"/>
                <w:sz w:val="22"/>
              </w:rPr>
              <w:t>Positive</w:t>
            </w:r>
          </w:p>
        </w:tc>
        <w:tc>
          <w:tcPr>
            <w:tcW w:type="dxa" w:w="1728"/>
          </w:tcPr>
          <w:p>
            <w:r>
              <w:rPr>
                <w:rFonts w:ascii="Calibri" w:hAnsi="Calibri"/>
                <w:sz w:val="22"/>
              </w:rPr>
              <w:t>Full pipeline, stable retention, AI-driven margin expansion in regulated-industry software; governance-first AI approach validates TYL's positioning</w:t>
            </w:r>
          </w:p>
        </w:tc>
      </w:tr>
      <w:tr>
        <w:tc>
          <w:tcPr>
            <w:tcW w:type="dxa" w:w="1728"/>
          </w:tcPr>
          <w:p>
            <w:r>
              <w:rPr>
                <w:rFonts w:ascii="Calibri" w:hAnsi="Calibri"/>
                <w:sz w:val="22"/>
              </w:rPr>
              <w:t>Pegasystems (PEGA)</w:t>
            </w:r>
          </w:p>
        </w:tc>
        <w:tc>
          <w:tcPr>
            <w:tcW w:type="dxa" w:w="1728"/>
          </w:tcPr>
          <w:p>
            <w:r>
              <w:rPr>
                <w:rFonts w:ascii="Calibri" w:hAnsi="Calibri"/>
                <w:sz w:val="22"/>
              </w:rPr>
              <w:t>July 22, 2026</w:t>
            </w:r>
          </w:p>
        </w:tc>
        <w:tc>
          <w:tcPr>
            <w:tcW w:type="dxa" w:w="1728"/>
          </w:tcPr>
          <w:p>
            <w:r>
              <w:rPr>
                <w:rFonts w:ascii="Calibri" w:hAnsi="Calibri"/>
                <w:sz w:val="22"/>
              </w:rPr>
              <w:t>H2 2026</w:t>
            </w:r>
          </w:p>
        </w:tc>
        <w:tc>
          <w:tcPr>
            <w:tcW w:type="dxa" w:w="1728"/>
          </w:tcPr>
          <w:p>
            <w:r>
              <w:rPr>
                <w:rFonts w:ascii="Calibri" w:hAnsi="Calibri"/>
                <w:b/>
                <w:color w:val="002FA7"/>
                <w:sz w:val="22"/>
              </w:rPr>
              <w:t>Mixed (limited direct read-through)</w:t>
            </w:r>
          </w:p>
        </w:tc>
        <w:tc>
          <w:tcPr>
            <w:tcW w:type="dxa" w:w="1728"/>
          </w:tcPr>
          <w:p>
            <w:r>
              <w:rPr>
                <w:rFonts w:ascii="Calibri" w:hAnsi="Calibri"/>
                <w:sz w:val="22"/>
              </w:rPr>
              <w:t>H1 bookings miss is company/sector-specific (private enterprise); AI pricing shift to outcome-based is positive for TYL's model; cloud transition maintenance pressure is a known dynamic</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All transactions in the period are routine — RSU grants and associated share settlements for directors (standard annual compensation cycle), and a small performance-based award for the COO. The absence of any open-market selling by senior management (CEO, CFO) heading into earnings is a mild positive signal, consistent with management's stated conviction that the stock is undervalued.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Puckett, Jeffrey David</w:t>
            </w:r>
          </w:p>
        </w:tc>
        <w:tc>
          <w:tcPr>
            <w:tcW w:type="dxa" w:w="1440"/>
          </w:tcPr>
          <w:p>
            <w:r>
              <w:rPr>
                <w:rFonts w:ascii="Calibri" w:hAnsi="Calibri"/>
                <w:sz w:val="22"/>
              </w:rPr>
              <w:t>Chief Operating Officer</w:t>
            </w:r>
          </w:p>
        </w:tc>
        <w:tc>
          <w:tcPr>
            <w:tcW w:type="dxa" w:w="1440"/>
          </w:tcPr>
          <w:p>
            <w:r>
              <w:rPr>
                <w:rFonts w:ascii="Calibri" w:hAnsi="Calibri"/>
                <w:sz w:val="22"/>
              </w:rPr>
              <w:t>Award / Grant (Code A)</w:t>
            </w:r>
          </w:p>
        </w:tc>
        <w:tc>
          <w:tcPr>
            <w:tcW w:type="dxa" w:w="1440"/>
          </w:tcPr>
          <w:p>
            <w:r>
              <w:rPr>
                <w:rFonts w:ascii="Calibri" w:hAnsi="Calibri"/>
                <w:sz w:val="22"/>
              </w:rPr>
              <w:t>15.085 shares</w:t>
            </w:r>
          </w:p>
        </w:tc>
        <w:tc>
          <w:tcPr>
            <w:tcW w:type="dxa" w:w="1440"/>
          </w:tcPr>
          <w:p>
            <w:r>
              <w:rPr>
                <w:rFonts w:ascii="Calibri" w:hAnsi="Calibri"/>
                <w:sz w:val="22"/>
              </w:rPr>
              <w:t>June 30, 2026</w:t>
            </w:r>
          </w:p>
        </w:tc>
        <w:tc>
          <w:tcPr>
            <w:tcW w:type="dxa" w:w="1440"/>
          </w:tcPr>
          <w:p>
            <w:r>
              <w:rPr>
                <w:rFonts w:ascii="Calibri" w:hAnsi="Calibri"/>
                <w:sz w:val="22"/>
              </w:rPr>
              <w:t>Performance-based award; not an open-market transaction; routine compensation</w:t>
            </w:r>
          </w:p>
        </w:tc>
      </w:tr>
      <w:tr>
        <w:tc>
          <w:tcPr>
            <w:tcW w:type="dxa" w:w="1440"/>
          </w:tcPr>
          <w:p>
            <w:r>
              <w:rPr>
                <w:rFonts w:ascii="Calibri" w:hAnsi="Calibri"/>
                <w:sz w:val="22"/>
              </w:rPr>
              <w:t>Miller, Brian K.</w:t>
            </w:r>
          </w:p>
        </w:tc>
        <w:tc>
          <w:tcPr>
            <w:tcW w:type="dxa" w:w="1440"/>
          </w:tcPr>
          <w:p>
            <w:r>
              <w:rPr>
                <w:rFonts w:ascii="Calibri" w:hAnsi="Calibri"/>
                <w:sz w:val="22"/>
              </w:rPr>
              <w:t>Executive VP &amp; CFO</w:t>
            </w:r>
          </w:p>
        </w:tc>
        <w:tc>
          <w:tcPr>
            <w:tcW w:type="dxa" w:w="1440"/>
          </w:tcPr>
          <w:p>
            <w:r>
              <w:rPr>
                <w:rFonts w:ascii="Calibri" w:hAnsi="Calibri"/>
                <w:sz w:val="22"/>
              </w:rPr>
              <w:t>Gift / Transfer (Code G)</w:t>
            </w:r>
          </w:p>
        </w:tc>
        <w:tc>
          <w:tcPr>
            <w:tcW w:type="dxa" w:w="1440"/>
          </w:tcPr>
          <w:p>
            <w:r>
              <w:rPr>
                <w:rFonts w:ascii="Calibri" w:hAnsi="Calibri"/>
                <w:sz w:val="22"/>
              </w:rPr>
              <w:t>90 shares</w:t>
            </w:r>
          </w:p>
        </w:tc>
        <w:tc>
          <w:tcPr>
            <w:tcW w:type="dxa" w:w="1440"/>
          </w:tcPr>
          <w:p>
            <w:r>
              <w:rPr>
                <w:rFonts w:ascii="Calibri" w:hAnsi="Calibri"/>
                <w:sz w:val="22"/>
              </w:rPr>
              <w:t>June 15, 2026</w:t>
            </w:r>
          </w:p>
        </w:tc>
        <w:tc>
          <w:tcPr>
            <w:tcW w:type="dxa" w:w="1440"/>
          </w:tcPr>
          <w:p>
            <w:r>
              <w:rPr>
                <w:rFonts w:ascii="Calibri" w:hAnsi="Calibri"/>
                <w:sz w:val="22"/>
              </w:rPr>
              <w:t>Disposition via gift (Code G); not an open-market sale; no economic signal</w:t>
            </w:r>
          </w:p>
        </w:tc>
      </w:tr>
      <w:tr>
        <w:tc>
          <w:tcPr>
            <w:tcW w:type="dxa" w:w="1440"/>
          </w:tcPr>
          <w:p>
            <w:r>
              <w:rPr>
                <w:rFonts w:ascii="Calibri" w:hAnsi="Calibri"/>
                <w:sz w:val="22"/>
              </w:rPr>
              <w:t>Carter, Glenn A.</w:t>
            </w:r>
          </w:p>
        </w:tc>
        <w:tc>
          <w:tcPr>
            <w:tcW w:type="dxa" w:w="1440"/>
          </w:tcPr>
          <w:p>
            <w:r>
              <w:rPr>
                <w:rFonts w:ascii="Calibri" w:hAnsi="Calibri"/>
                <w:sz w:val="22"/>
              </w:rPr>
              <w:t>Director</w:t>
            </w:r>
          </w:p>
        </w:tc>
        <w:tc>
          <w:tcPr>
            <w:tcW w:type="dxa" w:w="1440"/>
          </w:tcPr>
          <w:p>
            <w:r>
              <w:rPr>
                <w:rFonts w:ascii="Calibri" w:hAnsi="Calibri"/>
                <w:sz w:val="22"/>
              </w:rPr>
              <w:t>RSU Grant &amp; Settlement (Codes A/M)</w:t>
            </w:r>
          </w:p>
        </w:tc>
        <w:tc>
          <w:tcPr>
            <w:tcW w:type="dxa" w:w="1440"/>
          </w:tcPr>
          <w:p>
            <w:r>
              <w:rPr>
                <w:rFonts w:ascii="Calibri" w:hAnsi="Calibri"/>
                <w:sz w:val="22"/>
              </w:rPr>
              <w:t>762 RSUs granted; 452 shares settled</w:t>
            </w:r>
          </w:p>
        </w:tc>
        <w:tc>
          <w:tcPr>
            <w:tcW w:type="dxa" w:w="1440"/>
          </w:tcPr>
          <w:p>
            <w:r>
              <w:rPr>
                <w:rFonts w:ascii="Calibri" w:hAnsi="Calibri"/>
                <w:sz w:val="22"/>
              </w:rPr>
              <w:t>May 5–6, 2026</w:t>
            </w:r>
          </w:p>
        </w:tc>
        <w:tc>
          <w:tcPr>
            <w:tcW w:type="dxa" w:w="1440"/>
          </w:tcPr>
          <w:p>
            <w:r>
              <w:rPr>
                <w:rFonts w:ascii="Calibri" w:hAnsi="Calibri"/>
                <w:sz w:val="22"/>
              </w:rPr>
              <w:t>Annual director RSU grant and exercise; routine compensation cycle; no open-market activity</w:t>
            </w:r>
          </w:p>
        </w:tc>
      </w:tr>
      <w:tr>
        <w:tc>
          <w:tcPr>
            <w:tcW w:type="dxa" w:w="1440"/>
          </w:tcPr>
          <w:p>
            <w:r>
              <w:rPr>
                <w:rFonts w:ascii="Calibri" w:hAnsi="Calibri"/>
                <w:sz w:val="22"/>
              </w:rPr>
              <w:t>Carter, Margot Lebenberg</w:t>
            </w:r>
          </w:p>
        </w:tc>
        <w:tc>
          <w:tcPr>
            <w:tcW w:type="dxa" w:w="1440"/>
          </w:tcPr>
          <w:p>
            <w:r>
              <w:rPr>
                <w:rFonts w:ascii="Calibri" w:hAnsi="Calibri"/>
                <w:sz w:val="22"/>
              </w:rPr>
              <w:t>Director</w:t>
            </w:r>
          </w:p>
        </w:tc>
        <w:tc>
          <w:tcPr>
            <w:tcW w:type="dxa" w:w="1440"/>
          </w:tcPr>
          <w:p>
            <w:r>
              <w:rPr>
                <w:rFonts w:ascii="Calibri" w:hAnsi="Calibri"/>
                <w:sz w:val="22"/>
              </w:rPr>
              <w:t>RSU Grant &amp; Settlement (Codes A/M)</w:t>
            </w:r>
          </w:p>
        </w:tc>
        <w:tc>
          <w:tcPr>
            <w:tcW w:type="dxa" w:w="1440"/>
          </w:tcPr>
          <w:p>
            <w:r>
              <w:rPr>
                <w:rFonts w:ascii="Calibri" w:hAnsi="Calibri"/>
                <w:sz w:val="22"/>
              </w:rPr>
              <w:t>762 RSUs granted; 452 shares settled</w:t>
            </w:r>
          </w:p>
        </w:tc>
        <w:tc>
          <w:tcPr>
            <w:tcW w:type="dxa" w:w="1440"/>
          </w:tcPr>
          <w:p>
            <w:r>
              <w:rPr>
                <w:rFonts w:ascii="Calibri" w:hAnsi="Calibri"/>
                <w:sz w:val="22"/>
              </w:rPr>
              <w:t>May 5–6, 2026</w:t>
            </w:r>
          </w:p>
        </w:tc>
        <w:tc>
          <w:tcPr>
            <w:tcW w:type="dxa" w:w="1440"/>
          </w:tcPr>
          <w:p>
            <w:r>
              <w:rPr>
                <w:rFonts w:ascii="Calibri" w:hAnsi="Calibri"/>
                <w:sz w:val="22"/>
              </w:rPr>
              <w:t>Annual director RSU grant and exercise; routine compensation cycle; no open-market activity</w:t>
            </w:r>
          </w:p>
        </w:tc>
      </w:tr>
      <w:tr>
        <w:tc>
          <w:tcPr>
            <w:tcW w:type="dxa" w:w="1440"/>
          </w:tcPr>
          <w:p>
            <w:r>
              <w:rPr>
                <w:rFonts w:ascii="Calibri" w:hAnsi="Calibri"/>
                <w:sz w:val="22"/>
              </w:rPr>
              <w:t>Cline, Brenda A.</w:t>
            </w:r>
          </w:p>
        </w:tc>
        <w:tc>
          <w:tcPr>
            <w:tcW w:type="dxa" w:w="1440"/>
          </w:tcPr>
          <w:p>
            <w:r>
              <w:rPr>
                <w:rFonts w:ascii="Calibri" w:hAnsi="Calibri"/>
                <w:sz w:val="22"/>
              </w:rPr>
              <w:t>Director</w:t>
            </w:r>
          </w:p>
        </w:tc>
        <w:tc>
          <w:tcPr>
            <w:tcW w:type="dxa" w:w="1440"/>
          </w:tcPr>
          <w:p>
            <w:r>
              <w:rPr>
                <w:rFonts w:ascii="Calibri" w:hAnsi="Calibri"/>
                <w:sz w:val="22"/>
              </w:rPr>
              <w:t>RSU Grant &amp; Settlement (Codes A/M)</w:t>
            </w:r>
          </w:p>
        </w:tc>
        <w:tc>
          <w:tcPr>
            <w:tcW w:type="dxa" w:w="1440"/>
          </w:tcPr>
          <w:p>
            <w:r>
              <w:rPr>
                <w:rFonts w:ascii="Calibri" w:hAnsi="Calibri"/>
                <w:sz w:val="22"/>
              </w:rPr>
              <w:t>762 RSUs granted; 452 shares settled</w:t>
            </w:r>
          </w:p>
        </w:tc>
        <w:tc>
          <w:tcPr>
            <w:tcW w:type="dxa" w:w="1440"/>
          </w:tcPr>
          <w:p>
            <w:r>
              <w:rPr>
                <w:rFonts w:ascii="Calibri" w:hAnsi="Calibri"/>
                <w:sz w:val="22"/>
              </w:rPr>
              <w:t>May 5–6, 2026</w:t>
            </w:r>
          </w:p>
        </w:tc>
        <w:tc>
          <w:tcPr>
            <w:tcW w:type="dxa" w:w="1440"/>
          </w:tcPr>
          <w:p>
            <w:r>
              <w:rPr>
                <w:rFonts w:ascii="Calibri" w:hAnsi="Calibri"/>
                <w:sz w:val="22"/>
              </w:rPr>
              <w:t>Annual director RSU grant and exercise; routine compensation cycle; no open-market activity</w:t>
            </w:r>
          </w:p>
        </w:tc>
      </w:tr>
      <w:tr>
        <w:tc>
          <w:tcPr>
            <w:tcW w:type="dxa" w:w="1440"/>
          </w:tcPr>
          <w:p>
            <w:r>
              <w:rPr>
                <w:rFonts w:ascii="Calibri" w:hAnsi="Calibri"/>
                <w:sz w:val="22"/>
              </w:rPr>
              <w:t>Hawkins, Ronnie D. Jr.</w:t>
            </w:r>
          </w:p>
        </w:tc>
        <w:tc>
          <w:tcPr>
            <w:tcW w:type="dxa" w:w="1440"/>
          </w:tcPr>
          <w:p>
            <w:r>
              <w:rPr>
                <w:rFonts w:ascii="Calibri" w:hAnsi="Calibri"/>
                <w:sz w:val="22"/>
              </w:rPr>
              <w:t>Director</w:t>
            </w:r>
          </w:p>
        </w:tc>
        <w:tc>
          <w:tcPr>
            <w:tcW w:type="dxa" w:w="1440"/>
          </w:tcPr>
          <w:p>
            <w:r>
              <w:rPr>
                <w:rFonts w:ascii="Calibri" w:hAnsi="Calibri"/>
                <w:sz w:val="22"/>
              </w:rPr>
              <w:t>RSU Grant &amp; Settlement (Codes A/M)</w:t>
            </w:r>
          </w:p>
        </w:tc>
        <w:tc>
          <w:tcPr>
            <w:tcW w:type="dxa" w:w="1440"/>
          </w:tcPr>
          <w:p>
            <w:r>
              <w:rPr>
                <w:rFonts w:ascii="Calibri" w:hAnsi="Calibri"/>
                <w:sz w:val="22"/>
              </w:rPr>
              <w:t>762 RSUs granted; 452 shares settled</w:t>
            </w:r>
          </w:p>
        </w:tc>
        <w:tc>
          <w:tcPr>
            <w:tcW w:type="dxa" w:w="1440"/>
          </w:tcPr>
          <w:p>
            <w:r>
              <w:rPr>
                <w:rFonts w:ascii="Calibri" w:hAnsi="Calibri"/>
                <w:sz w:val="22"/>
              </w:rPr>
              <w:t>May 5–6, 2026</w:t>
            </w:r>
          </w:p>
        </w:tc>
        <w:tc>
          <w:tcPr>
            <w:tcW w:type="dxa" w:w="1440"/>
          </w:tcPr>
          <w:p>
            <w:r>
              <w:rPr>
                <w:rFonts w:ascii="Calibri" w:hAnsi="Calibri"/>
                <w:sz w:val="22"/>
              </w:rPr>
              <w:t>Annual director RSU grant and exercise; routine compensation cycle; no open-market activity</w:t>
            </w:r>
          </w:p>
        </w:tc>
      </w:tr>
      <w:tr>
        <w:tc>
          <w:tcPr>
            <w:tcW w:type="dxa" w:w="1440"/>
          </w:tcPr>
          <w:p>
            <w:r>
              <w:rPr>
                <w:rFonts w:ascii="Calibri" w:hAnsi="Calibri"/>
                <w:sz w:val="22"/>
              </w:rPr>
              <w:t>Pope, Daniel M.</w:t>
            </w:r>
          </w:p>
        </w:tc>
        <w:tc>
          <w:tcPr>
            <w:tcW w:type="dxa" w:w="1440"/>
          </w:tcPr>
          <w:p>
            <w:r>
              <w:rPr>
                <w:rFonts w:ascii="Calibri" w:hAnsi="Calibri"/>
                <w:sz w:val="22"/>
              </w:rPr>
              <w:t>Director</w:t>
            </w:r>
          </w:p>
        </w:tc>
        <w:tc>
          <w:tcPr>
            <w:tcW w:type="dxa" w:w="1440"/>
          </w:tcPr>
          <w:p>
            <w:r>
              <w:rPr>
                <w:rFonts w:ascii="Calibri" w:hAnsi="Calibri"/>
                <w:sz w:val="22"/>
              </w:rPr>
              <w:t>RSU Grant &amp; Settlement (Codes A/M)</w:t>
            </w:r>
          </w:p>
        </w:tc>
        <w:tc>
          <w:tcPr>
            <w:tcW w:type="dxa" w:w="1440"/>
          </w:tcPr>
          <w:p>
            <w:r>
              <w:rPr>
                <w:rFonts w:ascii="Calibri" w:hAnsi="Calibri"/>
                <w:sz w:val="22"/>
              </w:rPr>
              <w:t>762 RSUs granted; 452 shares settled</w:t>
            </w:r>
          </w:p>
        </w:tc>
        <w:tc>
          <w:tcPr>
            <w:tcW w:type="dxa" w:w="1440"/>
          </w:tcPr>
          <w:p>
            <w:r>
              <w:rPr>
                <w:rFonts w:ascii="Calibri" w:hAnsi="Calibri"/>
                <w:sz w:val="22"/>
              </w:rPr>
              <w:t>May 5–6, 2026</w:t>
            </w:r>
          </w:p>
        </w:tc>
        <w:tc>
          <w:tcPr>
            <w:tcW w:type="dxa" w:w="1440"/>
          </w:tcPr>
          <w:p>
            <w:r>
              <w:rPr>
                <w:rFonts w:ascii="Calibri" w:hAnsi="Calibri"/>
                <w:sz w:val="22"/>
              </w:rPr>
              <w:t>Annual director RSU grant and exercise; routine compensation cycle; no open-market activity</w:t>
            </w:r>
          </w:p>
        </w:tc>
      </w:tr>
      <w:tr>
        <w:tc>
          <w:tcPr>
            <w:tcW w:type="dxa" w:w="1440"/>
          </w:tcPr>
          <w:p>
            <w:r>
              <w:rPr>
                <w:rFonts w:ascii="Calibri" w:hAnsi="Calibri"/>
                <w:sz w:val="22"/>
              </w:rPr>
              <w:t>Teed, Andrew D.</w:t>
            </w:r>
          </w:p>
        </w:tc>
        <w:tc>
          <w:tcPr>
            <w:tcW w:type="dxa" w:w="1440"/>
          </w:tcPr>
          <w:p>
            <w:r>
              <w:rPr>
                <w:rFonts w:ascii="Calibri" w:hAnsi="Calibri"/>
                <w:sz w:val="22"/>
              </w:rPr>
              <w:t>Director</w:t>
            </w:r>
          </w:p>
        </w:tc>
        <w:tc>
          <w:tcPr>
            <w:tcW w:type="dxa" w:w="1440"/>
          </w:tcPr>
          <w:p>
            <w:r>
              <w:rPr>
                <w:rFonts w:ascii="Calibri" w:hAnsi="Calibri"/>
                <w:sz w:val="22"/>
              </w:rPr>
              <w:t>RSU Grant &amp; Settlement (Codes A/M)</w:t>
            </w:r>
          </w:p>
        </w:tc>
        <w:tc>
          <w:tcPr>
            <w:tcW w:type="dxa" w:w="1440"/>
          </w:tcPr>
          <w:p>
            <w:r>
              <w:rPr>
                <w:rFonts w:ascii="Calibri" w:hAnsi="Calibri"/>
                <w:sz w:val="22"/>
              </w:rPr>
              <w:t>762 RSUs granted; 452 shares settled</w:t>
            </w:r>
          </w:p>
        </w:tc>
        <w:tc>
          <w:tcPr>
            <w:tcW w:type="dxa" w:w="1440"/>
          </w:tcPr>
          <w:p>
            <w:r>
              <w:rPr>
                <w:rFonts w:ascii="Calibri" w:hAnsi="Calibri"/>
                <w:sz w:val="22"/>
              </w:rPr>
              <w:t>May 5–6, 2026</w:t>
            </w:r>
          </w:p>
        </w:tc>
        <w:tc>
          <w:tcPr>
            <w:tcW w:type="dxa" w:w="1440"/>
          </w:tcPr>
          <w:p>
            <w:r>
              <w:rPr>
                <w:rFonts w:ascii="Calibri" w:hAnsi="Calibri"/>
                <w:sz w:val="22"/>
              </w:rPr>
              <w:t>Annual director RSU grant and exercise; routine compensation cycle; no open-market activity</w:t>
            </w:r>
          </w:p>
        </w:tc>
      </w:tr>
    </w:tbl>
    <w:p>
      <w:r>
        <w:rPr>
          <w:rFonts w:ascii="Calibri" w:hAnsi="Calibri"/>
          <w:b/>
          <w:color w:val="525866"/>
          <w:sz w:val="22"/>
        </w:rPr>
        <w:t xml:space="preserve">Summary: </w:t>
      </w:r>
      <w:r>
        <w:rPr>
          <w:rFonts w:ascii="Calibri" w:hAnsi="Calibri"/>
          <w:color w:val="525866"/>
          <w:sz w:val="22"/>
        </w:rPr>
        <w:t>No open-market purchases (Code P) or open-market sales (Code S) were filed by any TYL insider since Q1 earnings. All transactions are routine compensation-related (RSU grants, settlements, and one gift transfer by the CFO). The absence of discretionary selling by the CEO or CFO heading into earnings is consistent with management's stated view that the stock is attractively valued — management repurchased ~2.5% of shares outstanding in 2026 at an average of ~$315, a strong institutional signal of conviction.</w:t>
      </w:r>
    </w:p>
    <w:p>
      <w:r>
        <w:rPr>
          <w:rFonts w:ascii="Calibri" w:hAnsi="Calibri"/>
          <w:b/>
          <w:color w:val="525866"/>
          <w:sz w:val="22"/>
        </w:rPr>
        <w:t xml:space="preserve">Source: </w:t>
      </w:r>
      <w:r>
        <w:rPr>
          <w:rFonts w:ascii="Calibri" w:hAnsi="Calibri"/>
          <w:color w:val="525866"/>
          <w:sz w:val="22"/>
        </w:rPr>
        <w:t>SEC Form 4 Filings Database (Insider Transaction Data); SEC EDGAR filings for TYL.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