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UPS before writing the preview. Let me start by gathering recent filings, transcripts, and news.Let me read the most recent earnings materials and gather recent news.Let me gather recent news and stock price data to round out the picture.Let me pull recent news and check for any recent 8-K filings or analyst commentary.Let me grab the year-ago (Q2 2025) figures to frame the comparisons.# UPS (NYSE: UPS) — Q2 2026 Earnings Preview</w:t>
      </w:r>
    </w:p>
    <w:bookmarkStart w:id="9" w:name="X9bab6614593a296a01c45ace1e54192e16cb8ee"/>
    <w:p>
      <w:pPr>
        <w:pStyle w:val="Heading3"/>
      </w:pPr>
      <w:r>
        <w:t xml:space="preserve">Reports Tuesday, July 28, 2026 (before market open) | Q2 2026 Earnings Call</w:t>
      </w:r>
    </w:p>
    <w:p>
      <w:r>
        <w:pict>
          <v:rect style="width:0;height:1.5pt" o:hralign="center" o:hrstd="t" o:hr="t"/>
        </w:pict>
      </w:r>
    </w:p>
    <w:bookmarkEnd w:id="9"/>
    <w:bookmarkStart w:id="10" w:name="the-one-sentence-setup"/>
    <w:p>
      <w:pPr>
        <w:pStyle w:val="Heading2"/>
      </w:pPr>
      <w:r>
        <w:t xml:space="preserve">The one-sentence setup</w:t>
      </w:r>
    </w:p>
    <w:p>
      <w:pPr>
        <w:pStyle w:val="FirstParagraph"/>
      </w:pPr>
      <w:r>
        <w:t xml:space="preserve">This is supposed to be the</w:t>
      </w:r>
      <w:r>
        <w:t xml:space="preserve"> </w:t>
      </w:r>
      <w:r>
        <w:rPr>
          <w:b/>
          <w:bCs/>
        </w:rPr>
        <w:t xml:space="preserve">inflection quarter</w:t>
      </w:r>
      <w:r>
        <w:t xml:space="preserve">. After roughly 18 months of shrinking revenue, falling margins, and a deliberate self-inflicted volume decline, management has told investors that Q2 2026 is when UPS returns to year-over-year revenue</w:t>
      </w:r>
      <w:r>
        <w:t xml:space="preserve"> </w:t>
      </w:r>
      <w:r>
        <w:rPr>
          <w:i/>
          <w:iCs/>
        </w:rPr>
        <w:t xml:space="preserve">and</w:t>
      </w:r>
      <w:r>
        <w:t xml:space="preserve"> </w:t>
      </w:r>
      <w:r>
        <w:t xml:space="preserve">operating-profit growth — and the second half is where the payoff really shows. The credibility of that entire turnaround narrative gets its first real stress test tomorrow morning.</w:t>
      </w:r>
    </w:p>
    <w:p>
      <w:r>
        <w:pict>
          <v:rect style="width:0;height:1.5pt" o:hralign="center" o:hrstd="t" o:hr="t"/>
        </w:pict>
      </w:r>
    </w:p>
    <w:bookmarkEnd w:id="10"/>
    <w:bookmarkStart w:id="11" w:name="where-the-stock-sits"/>
    <w:p>
      <w:pPr>
        <w:pStyle w:val="Heading2"/>
      </w:pPr>
      <w:r>
        <w:t xml:space="preserve">Where the stock sits</w:t>
      </w:r>
    </w:p>
    <w:p>
      <w:pPr>
        <w:pStyle w:val="Compact"/>
        <w:numPr>
          <w:ilvl w:val="0"/>
          <w:numId w:val="1001"/>
        </w:numPr>
      </w:pPr>
      <w:r>
        <w:t xml:space="preserve">UPS closed at **~</w:t>
      </w:r>
      <m:oMath>
        <m:r>
          <m:t>113</m:t>
        </m:r>
        <m:r>
          <m:rPr>
            <m:sty m:val="p"/>
          </m:rPr>
          <m:t>*</m:t>
        </m:r>
        <m:r>
          <m:rPr>
            <m:sty m:val="p"/>
          </m:rPr>
          <m:t>*</m:t>
        </m:r>
        <m:r>
          <m:t>o</m:t>
        </m:r>
        <m:r>
          <m:t>n</m:t>
        </m:r>
        <m:r>
          <m:t>7</m:t>
        </m:r>
        <m:r>
          <m:rPr>
            <m:sty m:val="p"/>
          </m:rPr>
          <m:t>/</m:t>
        </m:r>
        <m:r>
          <m:t>27</m:t>
        </m:r>
        <m:r>
          <m:rPr>
            <m:sty m:val="p"/>
          </m:rPr>
          <m:t>,</m:t>
        </m:r>
        <m:r>
          <m:t>u</m:t>
        </m:r>
        <m:r>
          <m:t>p</m:t>
        </m:r>
        <m:r>
          <m:t>r</m:t>
        </m:r>
        <m:r>
          <m:t>o</m:t>
        </m:r>
        <m:r>
          <m:t>u</m:t>
        </m:r>
        <m:r>
          <m:t>g</m:t>
        </m:r>
        <m:r>
          <m:t>h</m:t>
        </m:r>
        <m:r>
          <m:t>l</m:t>
        </m:r>
        <m:r>
          <m:t>y</m:t>
        </m:r>
        <m:r>
          <m:rPr>
            <m:sty m:val="p"/>
          </m:rPr>
          <m:t>*</m:t>
        </m:r>
        <m:r>
          <m:rPr>
            <m:sty m:val="p"/>
          </m:rPr>
          <m:t>*</m:t>
        </m:r>
        <m:r>
          <m:t>12</m:t>
        </m:r>
      </m:oMath>
      <w:r>
        <w:t xml:space="preserve">101 at the start of the year, and well off its early-March low near</w:t>
      </w:r>
      <w:r>
        <w:t xml:space="preserve"> </w:t>
      </w:r>
      <w:r>
        <w:rPr>
          <w:b/>
          <w:bCs/>
        </w:rPr>
        <w:t xml:space="preserve">$95</w:t>
      </w:r>
      <w:r>
        <w:t xml:space="preserve">.</w:t>
      </w:r>
    </w:p>
    <w:p>
      <w:pPr>
        <w:pStyle w:val="Compact"/>
        <w:numPr>
          <w:ilvl w:val="0"/>
          <w:numId w:val="1001"/>
        </w:numPr>
      </w:pPr>
      <w:r>
        <w:t xml:space="preserve">The stock ran to ~</w:t>
      </w:r>
      <m:oMath>
        <m:r>
          <m:t>117</m:t>
        </m:r>
        <m:r>
          <m:t>i</m:t>
        </m:r>
        <m:r>
          <m:t>n</m:t>
        </m:r>
        <m:r>
          <m:t>m</m:t>
        </m:r>
        <m:r>
          <m:t>i</m:t>
        </m:r>
        <m:r>
          <m:t>d</m:t>
        </m:r>
        <m:r>
          <m:rPr>
            <m:sty m:val="p"/>
          </m:rPr>
          <m:t>−</m:t>
        </m:r>
        <m:r>
          <m:t>J</m:t>
        </m:r>
        <m:r>
          <m:t>u</m:t>
        </m:r>
        <m:r>
          <m:t>l</m:t>
        </m:r>
        <m:r>
          <m:t>y</m:t>
        </m:r>
        <m:r>
          <m:t>b</m:t>
        </m:r>
        <m:r>
          <m:t>e</m:t>
        </m:r>
        <m:r>
          <m:t>f</m:t>
        </m:r>
        <m:r>
          <m:t>o</m:t>
        </m:r>
        <m:r>
          <m:t>r</m:t>
        </m:r>
        <m:r>
          <m:t>e</m:t>
        </m:r>
        <m:r>
          <m:t>f</m:t>
        </m:r>
        <m:r>
          <m:t>a</m:t>
        </m:r>
        <m:r>
          <m:t>d</m:t>
        </m:r>
        <m:r>
          <m:t>i</m:t>
        </m:r>
        <m:r>
          <m:t>n</m:t>
        </m:r>
        <m:r>
          <m:t>g</m:t>
        </m:r>
        <m:r>
          <m:t>b</m:t>
        </m:r>
        <m:r>
          <m:t>a</m:t>
        </m:r>
        <m:r>
          <m:t>c</m:t>
        </m:r>
        <m:r>
          <m:t>k</m:t>
        </m:r>
        <m:r>
          <m:t>t</m:t>
        </m:r>
        <m:r>
          <m:t>o</m:t>
        </m:r>
        <m:r>
          <m:t> </m:t>
        </m:r>
      </m:oMath>
      <w:r>
        <w:t xml:space="preserve">113 into the print — so expectations have crept up, and there's a modestly positive tone going in (a pre-earnings news digest characterized sentiment as</w:t>
      </w:r>
      <w:r>
        <w:t xml:space="preserve"> </w:t>
      </w:r>
      <w:r>
        <w:rPr>
          <w:b/>
          <w:bCs/>
        </w:rPr>
        <w:t xml:space="preserve">"slightly positive,"</w:t>
      </w:r>
      <w:r>
        <w:t xml:space="preserve"> </w:t>
      </w:r>
      <w:r>
        <w:t xml:space="preserve">with the turnaround expected to "begin bearing fruit in Q2 and especially in the second half").</w:t>
      </w:r>
    </w:p>
    <w:p>
      <w:pPr>
        <w:pStyle w:val="Compact"/>
        <w:numPr>
          <w:ilvl w:val="0"/>
          <w:numId w:val="1001"/>
        </w:numPr>
      </w:pPr>
      <w:r>
        <w:t xml:space="preserve">Peer FedEx has essentially treaded water this year, so UPS has been the relative outperformer — meaning the bar is a little higher.</w:t>
      </w:r>
    </w:p>
    <w:p>
      <w:pPr>
        <w:pStyle w:val="FirstParagraph"/>
      </w:pPr>
      <w:r>
        <w:rPr>
          <w:b/>
          <w:bCs/>
        </w:rPr>
        <w:t xml:space="preserve">Implication:</w:t>
      </w:r>
      <w:r>
        <w:t xml:space="preserve"> </w:t>
      </w:r>
      <w:r>
        <w:t xml:space="preserve">After a Q1 that was a "beat-and-no-raise," the market is now leaning toward believing the inflection story. A soft Q2 margin or another "too early to raise" on guidance could disappoint a stock that's already priced in some of the recovery.</w:t>
      </w:r>
    </w:p>
    <w:p>
      <w:r>
        <w:pict>
          <v:rect style="width:0;height:1.5pt" o:hralign="center" o:hrstd="t" o:hr="t"/>
        </w:pict>
      </w:r>
    </w:p>
    <w:bookmarkEnd w:id="11"/>
    <w:bookmarkStart w:id="12" w:name="X460c217b54f0f0f8da2224677a4e6411079dffe"/>
    <w:p>
      <w:pPr>
        <w:pStyle w:val="Heading2"/>
      </w:pPr>
      <w:r>
        <w:t xml:space="preserve">The number that matters most: U.S. Domestic margin</w:t>
      </w:r>
    </w:p>
    <w:p>
      <w:pPr>
        <w:pStyle w:val="FirstParagraph"/>
      </w:pPr>
      <w:r>
        <w:t xml:space="preserve">Q1 2026 was messy by design. U.S. Domestic adjusted operating margin was just</w:t>
      </w:r>
      <w:r>
        <w:t xml:space="preserve"> </w:t>
      </w:r>
      <w:r>
        <w:rPr>
          <w:b/>
          <w:bCs/>
        </w:rPr>
        <w:t xml:space="preserve">4.0%</w:t>
      </w:r>
      <w:r>
        <w:t xml:space="preserve">, dragged down ~250 bps by roughly</w:t>
      </w:r>
      <w:r>
        <w:t xml:space="preserve"> </w:t>
      </w:r>
      <w:r>
        <w:rPr>
          <w:b/>
          <w:bCs/>
        </w:rPr>
        <w:t xml:space="preserve">$350M of one-time transitional costs</w:t>
      </w:r>
      <w:r>
        <w:t xml:space="preserve">:</w:t>
      </w:r>
    </w:p>
    <w:p>
      <w:pPr>
        <w:pStyle w:val="Compact"/>
        <w:numPr>
          <w:ilvl w:val="0"/>
          <w:numId w:val="1002"/>
        </w:numPr>
      </w:pPr>
      <w:r>
        <w:t xml:space="preserve">Temporary third-party aircraft leases to cover the MD-11 retirement</w:t>
      </w:r>
    </w:p>
    <w:p>
      <w:pPr>
        <w:pStyle w:val="Compact"/>
        <w:numPr>
          <w:ilvl w:val="0"/>
          <w:numId w:val="1002"/>
        </w:numPr>
      </w:pPr>
      <w:r>
        <w:t xml:space="preserve">Ground Saver transition/excess staffing (USPS last-mile handoff)</w:t>
      </w:r>
    </w:p>
    <w:p>
      <w:pPr>
        <w:pStyle w:val="Compact"/>
        <w:numPr>
          <w:ilvl w:val="0"/>
          <w:numId w:val="1002"/>
        </w:numPr>
      </w:pPr>
      <w:r>
        <w:t xml:space="preserve">Weather + higher casualty (insurance) expense (~70 bps of the miss)</w:t>
      </w:r>
    </w:p>
    <w:p>
      <w:pPr>
        <w:pStyle w:val="FirstParagraph"/>
      </w:pPr>
      <w:r>
        <w:t xml:space="preserve">Management said</w:t>
      </w:r>
      <w:r>
        <w:t xml:space="preserve"> </w:t>
      </w:r>
      <w:r>
        <w:rPr>
          <w:b/>
          <w:bCs/>
        </w:rPr>
        <w:t xml:space="preserve">these pressures are "largely behind us."</w:t>
      </w:r>
      <w:r>
        <w:t xml:space="preserve"> </w:t>
      </w:r>
      <w:r>
        <w:t xml:space="preserve">For Q2 they guided U.S. Domestic to</w:t>
      </w:r>
      <w:r>
        <w:t xml:space="preserve"> </w:t>
      </w:r>
      <w:r>
        <w:rPr>
          <w:b/>
          <w:bCs/>
        </w:rPr>
        <w:t xml:space="preserve">7.5%–8.5%</w:t>
      </w:r>
      <w:r>
        <w:t xml:space="preserve"> </w:t>
      </w:r>
      <w:r>
        <w:t xml:space="preserve">margin. For context: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U.S. Domestic (adj.)</w:t>
            </w:r>
          </w:p>
        </w:tc>
        <w:tc>
          <w:tcPr/>
          <w:p>
            <w:pPr>
              <w:pStyle w:val="Compact"/>
            </w:pPr>
            <w:r>
              <w:t xml:space="preserve">Q2'25 (actual)</w:t>
            </w:r>
          </w:p>
        </w:tc>
        <w:tc>
          <w:tcPr/>
          <w:p>
            <w:pPr>
              <w:pStyle w:val="Compact"/>
            </w:pPr>
            <w:r>
              <w:t xml:space="preserve">Q1'26 (actual)</w:t>
            </w:r>
          </w:p>
        </w:tc>
        <w:tc>
          <w:tcPr/>
          <w:p>
            <w:pPr>
              <w:pStyle w:val="Compact"/>
            </w:pPr>
            <w:r>
              <w:t xml:space="preserve">Q2'26 (guide)</w:t>
            </w:r>
          </w:p>
        </w:tc>
      </w:tr>
      <w:tr>
        <w:tc>
          <w:tcPr/>
          <w:p>
            <w:pPr>
              <w:pStyle w:val="Compact"/>
            </w:pPr>
            <w:r>
              <w:t xml:space="preserve">Operating margin</w:t>
            </w:r>
          </w:p>
        </w:tc>
        <w:tc>
          <w:tcPr/>
          <w:p>
            <w:pPr>
              <w:pStyle w:val="Compact"/>
            </w:pPr>
            <w:r>
              <w:t xml:space="preserve">7.0%</w:t>
            </w:r>
          </w:p>
        </w:tc>
        <w:tc>
          <w:tcPr/>
          <w:p>
            <w:pPr>
              <w:pStyle w:val="Compact"/>
            </w:pPr>
            <w:r>
              <w:t xml:space="preserve">4.0%</w:t>
            </w:r>
          </w:p>
        </w:tc>
        <w:tc>
          <w:tcPr/>
          <w:p>
            <w:pPr>
              <w:pStyle w:val="Compact"/>
            </w:pPr>
            <w:r>
              <w:t xml:space="preserve">7.5%–8.5%</w:t>
            </w:r>
          </w:p>
        </w:tc>
      </w:tr>
      <w:tr>
        <w:tc>
          <w:tcPr/>
          <w:p>
            <w:pPr>
              <w:pStyle w:val="Compact"/>
            </w:pPr>
            <w:r>
              <w:t xml:space="preserve">Revenue</w:t>
            </w:r>
          </w:p>
        </w:tc>
        <w:tc>
          <w:tcPr/>
          <w:p>
            <w:pPr>
              <w:pStyle w:val="Compact"/>
            </w:pPr>
            <w:r>
              <w:t xml:space="preserve">$14.08B</w:t>
            </w:r>
          </w:p>
        </w:tc>
        <w:tc>
          <w:tcPr/>
          <w:p>
            <w:pPr>
              <w:pStyle w:val="Compact"/>
            </w:pPr>
            <w:r>
              <w:t xml:space="preserve">$14.13B</w:t>
            </w:r>
          </w:p>
        </w:tc>
        <w:tc>
          <w:tcPr/>
          <w:p>
            <w:pPr>
              <w:pStyle w:val="Compact"/>
            </w:pPr>
            <w:r>
              <w:t xml:space="preserve">up low-single-digits YoY</w:t>
            </w:r>
          </w:p>
        </w:tc>
      </w:tr>
    </w:tbl>
    <w:p>
      <w:pPr>
        <w:pStyle w:val="BodyText"/>
      </w:pPr>
      <w:r>
        <w:t xml:space="preserve">So the guide implies</w:t>
      </w:r>
      <w:r>
        <w:t xml:space="preserve"> </w:t>
      </w:r>
      <w:r>
        <w:rPr>
          <w:b/>
          <w:bCs/>
        </w:rPr>
        <w:t xml:space="preserve">both sequential and year-over-year margin expansion</w:t>
      </w:r>
      <w:r>
        <w:t xml:space="preserve"> </w:t>
      </w:r>
      <w:r>
        <w:t xml:space="preserve">in the domestic business. Key swing factors to watch:</w:t>
      </w:r>
    </w:p>
    <w:p>
      <w:pPr>
        <w:pStyle w:val="Compact"/>
        <w:numPr>
          <w:ilvl w:val="0"/>
          <w:numId w:val="1003"/>
        </w:numPr>
      </w:pPr>
      <w:r>
        <w:rPr>
          <w:b/>
          <w:bCs/>
        </w:rPr>
        <w:t xml:space="preserve">Driver Choice buyout:</w:t>
      </w:r>
      <w:r>
        <w:t xml:space="preserve"> </w:t>
      </w:r>
      <w:r>
        <w:t xml:space="preserve">~7,500 full-time drivers accepted (program was oversubscribed);</w:t>
      </w:r>
      <w:r>
        <w:t xml:space="preserve"> </w:t>
      </w:r>
      <w:r>
        <w:rPr>
          <w:b/>
          <w:bCs/>
        </w:rPr>
        <w:t xml:space="preserve">77% exited in April</w:t>
      </w:r>
      <w:r>
        <w:t xml:space="preserve">, so Q2 should capture most of the benefit. ~$150M of Q1 transition cost was tied to this and should roll off.</w:t>
      </w:r>
    </w:p>
    <w:p>
      <w:pPr>
        <w:pStyle w:val="Compact"/>
        <w:numPr>
          <w:ilvl w:val="0"/>
          <w:numId w:val="1003"/>
        </w:numPr>
      </w:pPr>
      <w:r>
        <w:rPr>
          <w:b/>
          <w:bCs/>
        </w:rPr>
        <w:t xml:space="preserve">Aircraft leases</w:t>
      </w:r>
      <w:r>
        <w:t xml:space="preserve"> </w:t>
      </w:r>
      <w:r>
        <w:t xml:space="preserve">stepping down as 767 deliveries continue.</w:t>
      </w:r>
    </w:p>
    <w:p>
      <w:pPr>
        <w:pStyle w:val="Compact"/>
        <w:numPr>
          <w:ilvl w:val="0"/>
          <w:numId w:val="1003"/>
        </w:numPr>
      </w:pPr>
      <w:r>
        <w:t xml:space="preserve">Whether casualty/weather costs truly normalized.</w:t>
      </w:r>
    </w:p>
    <w:p>
      <w:pPr>
        <w:pStyle w:val="FirstParagraph"/>
      </w:pPr>
      <w:r>
        <w:t xml:space="preserve">This line is the single biggest determinant of whether the "inflection" thesis holds.</w:t>
      </w:r>
    </w:p>
    <w:p>
      <w:r>
        <w:pict>
          <v:rect style="width:0;height:1.5pt" o:hralign="center" o:hrstd="t" o:hr="t"/>
        </w:pict>
      </w:r>
    </w:p>
    <w:bookmarkEnd w:id="12"/>
    <w:bookmarkStart w:id="13" w:name="the-amazon-glide-down-finish-line"/>
    <w:p>
      <w:pPr>
        <w:pStyle w:val="Heading2"/>
      </w:pPr>
      <w:r>
        <w:t xml:space="preserve">The Amazon glide-down finish line</w:t>
      </w:r>
    </w:p>
    <w:p>
      <w:pPr>
        <w:pStyle w:val="FirstParagraph"/>
      </w:pPr>
      <w:r>
        <w:t xml:space="preserve">UPS targeted cutting Amazon volume</w:t>
      </w:r>
      <w:r>
        <w:t xml:space="preserve"> </w:t>
      </w:r>
      <w:r>
        <w:rPr>
          <w:b/>
          <w:bCs/>
        </w:rPr>
        <w:t xml:space="preserve">~50% by June 2026</w:t>
      </w:r>
      <w:r>
        <w:t xml:space="preserve"> </w:t>
      </w:r>
      <w:r>
        <w:t xml:space="preserve">— meaning</w:t>
      </w:r>
      <w:r>
        <w:t xml:space="preserve"> </w:t>
      </w:r>
      <w:r>
        <w:rPr>
          <w:b/>
          <w:bCs/>
        </w:rPr>
        <w:t xml:space="preserve">this quarter marks the completion</w:t>
      </w:r>
      <w:r>
        <w:t xml:space="preserve"> </w:t>
      </w:r>
      <w:r>
        <w:t xml:space="preserve">of the most disruptive part of the reconfiguration.</w:t>
      </w:r>
    </w:p>
    <w:p>
      <w:pPr>
        <w:pStyle w:val="Compact"/>
        <w:numPr>
          <w:ilvl w:val="0"/>
          <w:numId w:val="1004"/>
        </w:numPr>
      </w:pPr>
      <w:r>
        <w:t xml:space="preserve">Amazon was</w:t>
      </w:r>
      <w:r>
        <w:t xml:space="preserve"> </w:t>
      </w:r>
      <w:r>
        <w:rPr>
          <w:b/>
          <w:bCs/>
        </w:rPr>
        <w:t xml:space="preserve">8.8% of revenue</w:t>
      </w:r>
      <w:r>
        <w:t xml:space="preserve"> </w:t>
      </w:r>
      <w:r>
        <w:t xml:space="preserve">at the end of Q1, down from</w:t>
      </w:r>
      <w:r>
        <w:t xml:space="preserve"> </w:t>
      </w:r>
      <w:r>
        <w:rPr>
          <w:b/>
          <w:bCs/>
        </w:rPr>
        <w:t xml:space="preserve">&gt;13%</w:t>
      </w:r>
      <w:r>
        <w:t xml:space="preserve"> </w:t>
      </w:r>
      <w:r>
        <w:t xml:space="preserve">not long ago.</w:t>
      </w:r>
    </w:p>
    <w:p>
      <w:pPr>
        <w:pStyle w:val="Compact"/>
        <w:numPr>
          <w:ilvl w:val="0"/>
          <w:numId w:val="1004"/>
        </w:numPr>
      </w:pPr>
      <w:r>
        <w:t xml:space="preserve">Total U.S. ADV was down</w:t>
      </w:r>
      <w:r>
        <w:t xml:space="preserve"> </w:t>
      </w:r>
      <w:r>
        <w:rPr>
          <w:b/>
          <w:bCs/>
        </w:rPr>
        <w:t xml:space="preserve">8%</w:t>
      </w:r>
      <w:r>
        <w:t xml:space="preserve"> </w:t>
      </w:r>
      <w:r>
        <w:t xml:space="preserve">in Q1; ~two-thirds of that was the deliberate Amazon + low-yield e-commerce removal.</w:t>
      </w:r>
    </w:p>
    <w:p>
      <w:pPr>
        <w:pStyle w:val="Compact"/>
        <w:numPr>
          <w:ilvl w:val="0"/>
          <w:numId w:val="1004"/>
        </w:numPr>
      </w:pPr>
      <w:r>
        <w:t xml:space="preserve">Management expects</w:t>
      </w:r>
      <w:r>
        <w:t xml:space="preserve"> </w:t>
      </w:r>
      <w:r>
        <w:rPr>
          <w:b/>
          <w:bCs/>
        </w:rPr>
        <w:t xml:space="preserve">revenue ex-Amazon to grow every quarter this year</w:t>
      </w:r>
      <w:r>
        <w:t xml:space="preserve">, with volume ex-Amazon growing in the back half.</w:t>
      </w:r>
    </w:p>
    <w:p>
      <w:pPr>
        <w:pStyle w:val="FirstParagraph"/>
      </w:pPr>
      <w:r>
        <w:rPr>
          <w:b/>
          <w:bCs/>
        </w:rPr>
        <w:t xml:space="preserve">What to listen for:</w:t>
      </w:r>
      <w:r>
        <w:t xml:space="preserve"> </w:t>
      </w:r>
      <w:r>
        <w:t xml:space="preserve">Confirmation the glide-down actually finished on schedule, the remaining Amazon mix (returns-heavy, described as more "lucrative"), and the trajectory of the SMB/B2B/healthcare volume that's supposed to replace it.</w:t>
      </w:r>
    </w:p>
    <w:p>
      <w:r>
        <w:pict>
          <v:rect style="width:0;height:1.5pt" o:hralign="center" o:hrstd="t" o:hr="t"/>
        </w:pict>
      </w:r>
    </w:p>
    <w:bookmarkEnd w:id="13"/>
    <w:bookmarkStart w:id="14" w:name="Xde5c9e1804547eac277b4eb214bb3d3734e23b1"/>
    <w:p>
      <w:pPr>
        <w:pStyle w:val="Heading2"/>
      </w:pPr>
      <w:r>
        <w:t xml:space="preserve">The RPP vs. CPP spread — the core profitability engine</w:t>
      </w:r>
    </w:p>
    <w:p>
      <w:pPr>
        <w:pStyle w:val="FirstParagraph"/>
      </w:pPr>
      <w:r>
        <w:t xml:space="preserve">The whole strategy rests on selling higher-quality volume faster than costs rise. In Q1:</w:t>
      </w:r>
    </w:p>
    <w:p>
      <w:pPr>
        <w:pStyle w:val="Compact"/>
        <w:numPr>
          <w:ilvl w:val="0"/>
          <w:numId w:val="1005"/>
        </w:numPr>
      </w:pPr>
      <w:r>
        <w:rPr>
          <w:b/>
          <w:bCs/>
        </w:rPr>
        <w:t xml:space="preserve">Revenue per piece +6.5%</w:t>
      </w:r>
      <w:r>
        <w:t xml:space="preserve"> </w:t>
      </w:r>
      <w:r>
        <w:t xml:space="preserve">(base rates +340 bps, mix +200 bps, fuel +110 bps)</w:t>
      </w:r>
    </w:p>
    <w:p>
      <w:pPr>
        <w:pStyle w:val="Compact"/>
        <w:numPr>
          <w:ilvl w:val="0"/>
          <w:numId w:val="1005"/>
        </w:numPr>
      </w:pPr>
      <w:r>
        <w:rPr>
          <w:b/>
          <w:bCs/>
        </w:rPr>
        <w:t xml:space="preserve">Cost per piece +9.5%</w:t>
      </w:r>
      <w:r>
        <w:t xml:space="preserve"> </w:t>
      </w:r>
      <w:r>
        <w:t xml:space="preserve">(inflated by the Amazon fixed-cost deleverage + one-timers)</w:t>
      </w:r>
    </w:p>
    <w:p>
      <w:pPr>
        <w:pStyle w:val="FirstParagraph"/>
      </w:pPr>
      <w:r>
        <w:t xml:space="preserve">Management wants a healthy</w:t>
      </w:r>
      <w:r>
        <w:t xml:space="preserve"> </w:t>
      </w:r>
      <w:r>
        <w:rPr>
          <w:b/>
          <w:bCs/>
        </w:rPr>
        <w:t xml:space="preserve">+50 to +100 bps positive spread by year-end</w:t>
      </w:r>
      <w:r>
        <w:t xml:space="preserve">, with CPP growth decelerating to</w:t>
      </w:r>
      <w:r>
        <w:t xml:space="preserve"> </w:t>
      </w:r>
      <w:r>
        <w:rPr>
          <w:b/>
          <w:bCs/>
        </w:rPr>
        <w:t xml:space="preserve">low-single-digits</w:t>
      </w:r>
      <w:r>
        <w:t xml:space="preserve"> </w:t>
      </w:r>
      <w:r>
        <w:t xml:space="preserve">in the back half as buildings close and automation ramps (67.5% of buildings automated; automated buildings run ~28% lower cost per piece).</w:t>
      </w:r>
      <w:r>
        <w:t xml:space="preserve"> </w:t>
      </w:r>
      <w:r>
        <w:rPr>
          <w:b/>
          <w:bCs/>
        </w:rPr>
        <w:t xml:space="preserve">Watch the Q2 CPP number closely</w:t>
      </w:r>
      <w:r>
        <w:t xml:space="preserve"> </w:t>
      </w:r>
      <w:r>
        <w:t xml:space="preserve">— it needs to show clear deceleration to keep the story on track.</w:t>
      </w:r>
    </w:p>
    <w:p>
      <w:r>
        <w:pict>
          <v:rect style="width:0;height:1.5pt" o:hralign="center" o:hrstd="t" o:hr="t"/>
        </w:pict>
      </w:r>
    </w:p>
    <w:bookmarkEnd w:id="14"/>
    <w:bookmarkStart w:id="15" w:name="Xacf6c6416a5afe97d9e9b19288712bd8a9b5f7a"/>
    <w:p>
      <w:pPr>
        <w:pStyle w:val="Heading2"/>
      </w:pPr>
      <w:r>
        <w:t xml:space="preserve">International — the underappreciated soft spot</w:t>
      </w:r>
    </w:p>
    <w:p>
      <w:pPr>
        <w:pStyle w:val="FirstParagraph"/>
      </w:pPr>
      <w:r>
        <w:t xml:space="preserve">International has been the quiet drag from tariff/trade-lane disruption, and the Q2 guide actually implies</w:t>
      </w:r>
      <w:r>
        <w:t xml:space="preserve"> </w:t>
      </w:r>
      <w:r>
        <w:rPr>
          <w:b/>
          <w:bCs/>
        </w:rPr>
        <w:t xml:space="preserve">year-over-year margin</w:t>
      </w:r>
      <w:r>
        <w:rPr>
          <w:b/>
          <w:bCs/>
        </w:rPr>
        <w:t xml:space="preserve"> </w:t>
      </w:r>
      <w:r>
        <w:rPr>
          <w:b/>
          <w:bCs/>
          <w:i/>
          <w:iCs/>
        </w:rPr>
        <w:t xml:space="preserve">contraction</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International (adj.)</w:t>
            </w:r>
          </w:p>
        </w:tc>
        <w:tc>
          <w:tcPr/>
          <w:p>
            <w:pPr>
              <w:pStyle w:val="Compact"/>
            </w:pPr>
            <w:r>
              <w:t xml:space="preserve">Q2'25 (actual)</w:t>
            </w:r>
          </w:p>
        </w:tc>
        <w:tc>
          <w:tcPr/>
          <w:p>
            <w:pPr>
              <w:pStyle w:val="Compact"/>
            </w:pPr>
            <w:r>
              <w:t xml:space="preserve">Q1'26 (actual)</w:t>
            </w:r>
          </w:p>
        </w:tc>
        <w:tc>
          <w:tcPr/>
          <w:p>
            <w:pPr>
              <w:pStyle w:val="Compact"/>
            </w:pPr>
            <w:r>
              <w:t xml:space="preserve">Q2'26 (guide)</w:t>
            </w:r>
          </w:p>
        </w:tc>
      </w:tr>
      <w:tr>
        <w:tc>
          <w:tcPr/>
          <w:p>
            <w:pPr>
              <w:pStyle w:val="Compact"/>
            </w:pPr>
            <w:r>
              <w:t xml:space="preserve">Operating margin</w:t>
            </w:r>
          </w:p>
        </w:tc>
        <w:tc>
          <w:tcPr/>
          <w:p>
            <w:pPr>
              <w:pStyle w:val="Compact"/>
            </w:pPr>
            <w:r>
              <w:t xml:space="preserve">15.2%</w:t>
            </w:r>
          </w:p>
        </w:tc>
        <w:tc>
          <w:tcPr/>
          <w:p>
            <w:pPr>
              <w:pStyle w:val="Compact"/>
            </w:pPr>
            <w:r>
              <w:t xml:space="preserve">12.1%</w:t>
            </w:r>
          </w:p>
        </w:tc>
        <w:tc>
          <w:tcPr/>
          <w:p>
            <w:pPr>
              <w:pStyle w:val="Compact"/>
            </w:pPr>
            <w:r>
              <w:t xml:space="preserve">13%–14%</w:t>
            </w:r>
          </w:p>
        </w:tc>
      </w:tr>
    </w:tbl>
    <w:p>
      <w:pPr>
        <w:pStyle w:val="Compact"/>
        <w:numPr>
          <w:ilvl w:val="0"/>
          <w:numId w:val="1006"/>
        </w:numPr>
      </w:pPr>
      <w:r>
        <w:t xml:space="preserve">The most profitable lane,</w:t>
      </w:r>
      <w:r>
        <w:t xml:space="preserve"> </w:t>
      </w:r>
      <w:r>
        <w:rPr>
          <w:b/>
          <w:bCs/>
        </w:rPr>
        <w:t xml:space="preserve">China→U.S., was down 18.3%</w:t>
      </w:r>
      <w:r>
        <w:t xml:space="preserve"> </w:t>
      </w:r>
      <w:r>
        <w:t xml:space="preserve">in Q1; total U.S. imports down 16.4% (Europe→U.S. down 22.5%).</w:t>
      </w:r>
    </w:p>
    <w:p>
      <w:pPr>
        <w:pStyle w:val="Compact"/>
        <w:numPr>
          <w:ilvl w:val="0"/>
          <w:numId w:val="1006"/>
        </w:numPr>
      </w:pPr>
      <w:r>
        <w:t xml:space="preserve">Management framed trade lanes as moving "from red to orange to yellow" and expects normalization over time back toward mid-to-high teens.</w:t>
      </w:r>
    </w:p>
    <w:p>
      <w:pPr>
        <w:pStyle w:val="Compact"/>
        <w:numPr>
          <w:ilvl w:val="0"/>
          <w:numId w:val="1006"/>
        </w:numPr>
      </w:pPr>
      <w:r>
        <w:rPr>
          <w:b/>
          <w:bCs/>
        </w:rPr>
        <w:t xml:space="preserve">Watch:</w:t>
      </w:r>
      <w:r>
        <w:t xml:space="preserve"> </w:t>
      </w:r>
      <w:r>
        <w:t xml:space="preserve">the pace of trade-lane recovery, the May lapping of "Liberation Day"/China de-minimis, and the</w:t>
      </w:r>
      <w:r>
        <w:t xml:space="preserve"> </w:t>
      </w:r>
      <w:r>
        <w:rPr>
          <w:b/>
          <w:bCs/>
        </w:rPr>
        <w:t xml:space="preserve">elimination of de minimis in Europe this summer</w:t>
      </w:r>
      <w:r>
        <w:t xml:space="preserve"> </w:t>
      </w:r>
      <w:r>
        <w:t xml:space="preserve">— a potential fresh disruption management is flagging cautiously.</w:t>
      </w:r>
    </w:p>
    <w:p>
      <w:pPr>
        <w:pStyle w:val="FirstParagraph"/>
      </w:pPr>
      <w:r>
        <w:t xml:space="preserve">Supply Chain Solutions, by contrast, has been a bright spot (Q1 operating profit doubled YoY to $206M; Q2 guide 9.5%–10.5% margin), helped by Healthcare Logistics, UPS Digital (Roadie/Happy Returns +19.9%), and the Andlauer acquisition.</w:t>
      </w:r>
    </w:p>
    <w:p>
      <w:r>
        <w:pict>
          <v:rect style="width:0;height:1.5pt" o:hralign="center" o:hrstd="t" o:hr="t"/>
        </w:pict>
      </w:r>
    </w:p>
    <w:bookmarkEnd w:id="15"/>
    <w:bookmarkStart w:id="16" w:name="X6dfe35d1c70eba2c4351d1079c7bb7c88400809"/>
    <w:p>
      <w:pPr>
        <w:pStyle w:val="Heading2"/>
      </w:pPr>
      <w:r>
        <w:t xml:space="preserve">The big question: do they finally raise guidance?</w:t>
      </w:r>
    </w:p>
    <w:p>
      <w:pPr>
        <w:pStyle w:val="FirstParagraph"/>
      </w:pPr>
      <w:r>
        <w:t xml:space="preserve">Full-year 2026 targets currently stand at:</w:t>
      </w:r>
    </w:p>
    <w:p>
      <w:pPr>
        <w:pStyle w:val="Compact"/>
        <w:numPr>
          <w:ilvl w:val="0"/>
          <w:numId w:val="1007"/>
        </w:numPr>
      </w:pPr>
      <w:r>
        <w:rPr>
          <w:b/>
          <w:bCs/>
        </w:rPr>
        <w:t xml:space="preserve">Revenue ~$89.7B</w:t>
      </w:r>
      <w:r>
        <w:t xml:space="preserve"> </w:t>
      </w:r>
      <w:r>
        <w:t xml:space="preserve">and</w:t>
      </w:r>
      <w:r>
        <w:t xml:space="preserve"> </w:t>
      </w:r>
      <w:r>
        <w:rPr>
          <w:b/>
          <w:bCs/>
        </w:rPr>
        <w:t xml:space="preserve">adjusted operating margin ~9.6%</w:t>
      </w:r>
    </w:p>
    <w:p>
      <w:pPr>
        <w:pStyle w:val="Compact"/>
        <w:numPr>
          <w:ilvl w:val="0"/>
          <w:numId w:val="1007"/>
        </w:numPr>
      </w:pPr>
      <w:r>
        <w:rPr>
          <w:b/>
          <w:bCs/>
        </w:rPr>
        <w:t xml:space="preserve">Adjusted EPS about flat to 2025</w:t>
      </w:r>
    </w:p>
    <w:p>
      <w:pPr>
        <w:pStyle w:val="Compact"/>
        <w:numPr>
          <w:ilvl w:val="0"/>
          <w:numId w:val="1007"/>
        </w:numPr>
      </w:pPr>
      <w:r>
        <w:t xml:space="preserve">Capex ~</w:t>
      </w:r>
      <m:oMath>
        <m:r>
          <m:t>3.0</m:t>
        </m:r>
        <m:r>
          <m:t>B</m:t>
        </m:r>
        <m:r>
          <m:rPr>
            <m:sty m:val="p"/>
          </m:rPr>
          <m:t>,</m:t>
        </m:r>
        <m:r>
          <m:t>d</m:t>
        </m:r>
        <m:r>
          <m:t>i</m:t>
        </m:r>
        <m:r>
          <m:t>v</m:t>
        </m:r>
        <m:r>
          <m:t>i</m:t>
        </m:r>
        <m:r>
          <m:t>d</m:t>
        </m:r>
        <m:r>
          <m:t>e</m:t>
        </m:r>
        <m:r>
          <m:t>n</m:t>
        </m:r>
        <m:r>
          <m:t>d</m:t>
        </m:r>
        <m:r>
          <m:t>s</m:t>
        </m:r>
        <m:r>
          <m:t> </m:t>
        </m:r>
      </m:oMath>
      <w:r>
        <w:t xml:space="preserve">5.4B, FCF ~$5.5B, tax rate ~23%</w:t>
      </w:r>
    </w:p>
    <w:p>
      <w:pPr>
        <w:pStyle w:val="FirstParagraph"/>
      </w:pPr>
      <w:r>
        <w:t xml:space="preserve">In Q1 management explicitly declined to raise despite an underlying beat, citing it being "too early in the year," a</w:t>
      </w:r>
      <w:r>
        <w:t xml:space="preserve"> </w:t>
      </w:r>
      <w:r>
        <w:rPr>
          <w:b/>
          <w:bCs/>
        </w:rPr>
        <w:t xml:space="preserve">war in the Middle East</w:t>
      </w:r>
      <w:r>
        <w:t xml:space="preserve">, elevated fuel, and</w:t>
      </w:r>
      <w:r>
        <w:t xml:space="preserve"> </w:t>
      </w:r>
      <w:r>
        <w:rPr>
          <w:b/>
          <w:bCs/>
        </w:rPr>
        <w:t xml:space="preserve">consumer confidence at historic lows.</w:t>
      </w:r>
      <w:r>
        <w:t xml:space="preserve"> </w:t>
      </w:r>
      <w:r>
        <w:t xml:space="preserve">CEO Carol Tomé said April results were already exceeding plan.</w:t>
      </w:r>
    </w:p>
    <w:p>
      <w:pPr>
        <w:pStyle w:val="BodyText"/>
      </w:pPr>
      <w:r>
        <w:rPr>
          <w:b/>
          <w:bCs/>
        </w:rPr>
        <w:t xml:space="preserve">The debate for tomorrow:</w:t>
      </w:r>
      <w:r>
        <w:t xml:space="preserve"> </w:t>
      </w:r>
      <w:r>
        <w:t xml:space="preserve">with the disruptive transition behind them and back-half acceleration expected, does UPS raise, reaffirm, or get more cautious? A reaffirm-only again may be read as conservatism; a raise would validate the inflection; any trim would hit hard.</w:t>
      </w:r>
    </w:p>
    <w:p>
      <w:r>
        <w:pict>
          <v:rect style="width:0;height:1.5pt" o:hralign="center" o:hrstd="t" o:hr="t"/>
        </w:pict>
      </w:r>
    </w:p>
    <w:bookmarkEnd w:id="16"/>
    <w:bookmarkStart w:id="17" w:name="other-items-on-the-checklist"/>
    <w:p>
      <w:pPr>
        <w:pStyle w:val="Heading2"/>
      </w:pPr>
      <w:r>
        <w:t xml:space="preserve">Other items on the checklist</w:t>
      </w:r>
    </w:p>
    <w:p>
      <w:pPr>
        <w:pStyle w:val="Compact"/>
        <w:numPr>
          <w:ilvl w:val="0"/>
          <w:numId w:val="1008"/>
        </w:numPr>
      </w:pPr>
      <w:r>
        <w:rPr>
          <w:b/>
          <w:bCs/>
        </w:rPr>
        <w:t xml:space="preserve">Fuel:</w:t>
      </w:r>
      <w:r>
        <w:t xml:space="preserve"> </w:t>
      </w:r>
      <w:r>
        <w:t xml:space="preserve">Middle East conflict spiked fuel late in Q1. UPS recovers fuel via weekly-adjusting surcharges, so it's largely</w:t>
      </w:r>
      <w:r>
        <w:t xml:space="preserve"> </w:t>
      </w:r>
      <w:r>
        <w:rPr>
          <w:b/>
          <w:bCs/>
        </w:rPr>
        <w:t xml:space="preserve">profit-neutral but a revenue tailwind</w:t>
      </w:r>
      <w:r>
        <w:t xml:space="preserve"> </w:t>
      </w:r>
      <w:r>
        <w:t xml:space="preserve">— with a possible demand drag if prices persist. Management did not update guidance for it.</w:t>
      </w:r>
    </w:p>
    <w:p>
      <w:pPr>
        <w:pStyle w:val="Compact"/>
        <w:numPr>
          <w:ilvl w:val="0"/>
          <w:numId w:val="1008"/>
        </w:numPr>
      </w:pPr>
      <w:r>
        <w:rPr>
          <w:b/>
          <w:bCs/>
        </w:rPr>
        <w:t xml:space="preserve">Tariff refunds:</w:t>
      </w:r>
      <w:r>
        <w:t xml:space="preserve"> </w:t>
      </w:r>
      <w:r>
        <w:t xml:space="preserve">UPS is a</w:t>
      </w:r>
      <w:r>
        <w:t xml:space="preserve"> </w:t>
      </w:r>
      <w:r>
        <w:rPr>
          <w:b/>
          <w:bCs/>
        </w:rPr>
        <w:t xml:space="preserve">pure pass-through</w:t>
      </w:r>
      <w:r>
        <w:t xml:space="preserve"> </w:t>
      </w:r>
      <w:r>
        <w:t xml:space="preserve">(~$500M of refundable IEEPA tariffs being reclaimed and remitted straight back to customers) —</w:t>
      </w:r>
      <w:r>
        <w:t xml:space="preserve"> </w:t>
      </w:r>
      <w:r>
        <w:rPr>
          <w:b/>
          <w:bCs/>
        </w:rPr>
        <w:t xml:space="preserve">no P&amp;L impact</w:t>
      </w:r>
      <w:r>
        <w:t xml:space="preserve">, but watch for headline noise.</w:t>
      </w:r>
    </w:p>
    <w:p>
      <w:pPr>
        <w:pStyle w:val="Compact"/>
        <w:numPr>
          <w:ilvl w:val="0"/>
          <w:numId w:val="1008"/>
        </w:numPr>
      </w:pPr>
      <w:r>
        <w:rPr>
          <w:b/>
          <w:bCs/>
        </w:rPr>
        <w:t xml:space="preserve">Cost-out cadence:</w:t>
      </w:r>
      <w:r>
        <w:t xml:space="preserve"> </w:t>
      </w:r>
      <w:r>
        <w:t xml:space="preserve">On track for **</w:t>
      </w:r>
      <m:oMath>
        <m:r>
          <m:t>3</m:t>
        </m:r>
        <m:r>
          <m:t>B</m:t>
        </m:r>
        <m:r>
          <m:t>i</m:t>
        </m:r>
        <m:r>
          <m:t>n</m:t>
        </m:r>
        <m:r>
          <m:t>2026</m:t>
        </m:r>
        <m:r>
          <m:t>s</m:t>
        </m:r>
        <m:r>
          <m:t>a</m:t>
        </m:r>
        <m:r>
          <m:t>v</m:t>
        </m:r>
        <m:r>
          <m:t>i</m:t>
        </m:r>
        <m:r>
          <m:t>n</m:t>
        </m:r>
        <m:r>
          <m:t>g</m:t>
        </m:r>
        <m:r>
          <m:t>s</m:t>
        </m:r>
        <m:r>
          <m:rPr>
            <m:sty m:val="p"/>
          </m:rPr>
          <m:t>*</m:t>
        </m:r>
        <m:r>
          <m:rPr>
            <m:sty m:val="p"/>
          </m:rPr>
          <m:t>*</m:t>
        </m:r>
        <m:r>
          <m:rPr>
            <m:sty m:val="p"/>
          </m:rPr>
          <m:t>(</m:t>
        </m:r>
        <m:r>
          <m:t> </m:t>
        </m:r>
      </m:oMath>
      <w:r>
        <w:t xml:space="preserve">600M booked in Q1),</w:t>
      </w:r>
      <w:r>
        <w:t xml:space="preserve"> </w:t>
      </w:r>
      <w:r>
        <w:rPr>
          <w:b/>
          <w:bCs/>
        </w:rPr>
        <w:t xml:space="preserve">~30,000 position reductions</w:t>
      </w:r>
      <w:r>
        <w:t xml:space="preserve">, and</w:t>
      </w:r>
      <w:r>
        <w:t xml:space="preserve"> </w:t>
      </w:r>
      <w:r>
        <w:rPr>
          <w:b/>
          <w:bCs/>
        </w:rPr>
        <w:t xml:space="preserve">50 building closures</w:t>
      </w:r>
      <w:r>
        <w:t xml:space="preserve"> </w:t>
      </w:r>
      <w:r>
        <w:t xml:space="preserve">(23 done in Q1, ~27 more mostly in Q2). Confirmation of pace matters.</w:t>
      </w:r>
    </w:p>
    <w:p>
      <w:pPr>
        <w:pStyle w:val="Compact"/>
        <w:numPr>
          <w:ilvl w:val="0"/>
          <w:numId w:val="1008"/>
        </w:numPr>
      </w:pPr>
      <w:r>
        <w:rPr>
          <w:b/>
          <w:bCs/>
        </w:rPr>
        <w:t xml:space="preserve">Dividend coverage:</w:t>
      </w:r>
      <w:r>
        <w:t xml:space="preserve"> </w:t>
      </w:r>
      <w:r>
        <w:t xml:space="preserve">With FCF guided to ~</w:t>
      </w:r>
      <m:oMath>
        <m:r>
          <m:t>5.5</m:t>
        </m:r>
        <m:r>
          <m:t>B</m:t>
        </m:r>
        <m:r>
          <m:t>a</m:t>
        </m:r>
        <m:r>
          <m:t>g</m:t>
        </m:r>
        <m:r>
          <m:t>a</m:t>
        </m:r>
        <m:r>
          <m:t>i</m:t>
        </m:r>
        <m:r>
          <m:t>n</m:t>
        </m:r>
        <m:r>
          <m:t>s</m:t>
        </m:r>
        <m:r>
          <m:t>t</m:t>
        </m:r>
        <m:r>
          <m:t>a</m:t>
        </m:r>
        <m:r>
          <m:t> </m:t>
        </m:r>
      </m:oMath>
      <w:r>
        <w:t xml:space="preserve">5.4B dividend, coverage is thin — a recurring investor concern given the elevated payout. Any commentary on capital allocation / buybacks is worth noting.</w:t>
      </w:r>
    </w:p>
    <w:p>
      <w:pPr>
        <w:pStyle w:val="Compact"/>
        <w:numPr>
          <w:ilvl w:val="0"/>
          <w:numId w:val="1008"/>
        </w:numPr>
      </w:pPr>
      <w:r>
        <w:rPr>
          <w:b/>
          <w:bCs/>
        </w:rPr>
        <w:t xml:space="preserve">2027 framing:</w:t>
      </w:r>
      <w:r>
        <w:t xml:space="preserve"> </w:t>
      </w:r>
      <w:r>
        <w:t xml:space="preserve">Tomé has repeatedly teased that</w:t>
      </w:r>
      <w:r>
        <w:t xml:space="preserve"> </w:t>
      </w:r>
      <w:r>
        <w:rPr>
          <w:b/>
          <w:bCs/>
        </w:rPr>
        <w:t xml:space="preserve">2027 "will look considerably better than 2026."</w:t>
      </w:r>
      <w:r>
        <w:t xml:space="preserve"> </w:t>
      </w:r>
      <w:r>
        <w:t xml:space="preserve">Any incremental color on the exit-rate margin and next year's setup could move the stock more than the Q2 print itself.</w:t>
      </w:r>
    </w:p>
    <w:p>
      <w:r>
        <w:pict>
          <v:rect style="width:0;height:1.5pt" o:hralign="center" o:hrstd="t" o:hr="t"/>
        </w:pict>
      </w:r>
    </w:p>
    <w:bookmarkEnd w:id="17"/>
    <w:bookmarkStart w:id="18" w:name="bottom-line-for-investors"/>
    <w:p>
      <w:pPr>
        <w:pStyle w:val="Heading2"/>
      </w:pPr>
      <w:r>
        <w:t xml:space="preserve">Bottom line for investors</w:t>
      </w:r>
    </w:p>
    <w:p>
      <w:pPr>
        <w:pStyle w:val="FirstParagraph"/>
      </w:pPr>
      <w:r>
        <w:t xml:space="preserve">Q2 2026 is the quarter UPS has been pointing to for a year. The bull case needs three things to line up: (1) U.S. Domestic margin snapping back into the</w:t>
      </w:r>
      <w:r>
        <w:t xml:space="preserve"> </w:t>
      </w:r>
      <w:r>
        <w:rPr>
          <w:b/>
          <w:bCs/>
        </w:rPr>
        <w:t xml:space="preserve">7.5%–8.5%</w:t>
      </w:r>
      <w:r>
        <w:t xml:space="preserve"> </w:t>
      </w:r>
      <w:r>
        <w:t xml:space="preserve">guided range as the ~$350M of Q1 one-timers vanish, (2) the Amazon glide-down confirmed complete with</w:t>
      </w:r>
      <w:r>
        <w:t xml:space="preserve"> </w:t>
      </w:r>
      <w:r>
        <w:rPr>
          <w:b/>
          <w:bCs/>
        </w:rPr>
        <w:t xml:space="preserve">ex-Amazon revenue/volume growth</w:t>
      </w:r>
      <w:r>
        <w:t xml:space="preserve">, and (3) a</w:t>
      </w:r>
      <w:r>
        <w:t xml:space="preserve"> </w:t>
      </w:r>
      <w:r>
        <w:rPr>
          <w:b/>
          <w:bCs/>
        </w:rPr>
        <w:t xml:space="preserve">narrowing RPP-vs-CPP gap</w:t>
      </w:r>
      <w:r>
        <w:t xml:space="preserve"> </w:t>
      </w:r>
      <w:r>
        <w:t xml:space="preserve">that supports the back-half margin ramp. The main offsets to watch are</w:t>
      </w:r>
      <w:r>
        <w:t xml:space="preserve"> </w:t>
      </w:r>
      <w:r>
        <w:rPr>
          <w:b/>
          <w:bCs/>
        </w:rPr>
        <w:t xml:space="preserve">International margin pressure</w:t>
      </w:r>
      <w:r>
        <w:t xml:space="preserve"> </w:t>
      </w:r>
      <w:r>
        <w:t xml:space="preserve">(still below year-ago levels) and whether management finally shows enough confidence to</w:t>
      </w:r>
      <w:r>
        <w:t xml:space="preserve"> </w:t>
      </w:r>
      <w:r>
        <w:rPr>
          <w:b/>
          <w:bCs/>
        </w:rPr>
        <w:t xml:space="preserve">raise the full-year outlook</w:t>
      </w:r>
      <w:r>
        <w:t xml:space="preserve"> </w:t>
      </w:r>
      <w:r>
        <w:t xml:space="preserve">rather than hide behind fuel and consumer-confidence caveats again. With the stock up ~12% YTD and sentiment turning positive, execution — not just reassurance — is now required.</w:t>
      </w:r>
    </w:p>
    <w:p>
      <w:pPr>
        <w:pStyle w:val="BodyText"/>
      </w:pPr>
      <w:r>
        <w:rPr>
          <w:i/>
          <w:iCs/>
        </w:rPr>
        <w:t xml:space="preserve">Note: All figures above are drawn from UPS's Q1 2026 earnings release/call and Q2 2025 release for comparison; consensus estimates were not available in the sources reviewed, so this preview frames expectations against company guidance and prior-year actuals rather than Street numbers.</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2026-07-28T00:23:21Z</dcterms:created>
  <dcterms:modified xsi:type="dcterms:W3CDTF">2026-07-28T00:23:21Z</dcterms:modified>
</cp:coreProperties>
</file>

<file path=docProps/custom.xml><?xml version="1.0" encoding="utf-8"?>
<Properties xmlns="http://schemas.openxmlformats.org/officeDocument/2006/custom-properties" xmlns:vt="http://schemas.openxmlformats.org/officeDocument/2006/docPropsVTypes"/>
</file>