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ps-earnings-predictions--2026-07-28"/>
    <w:p>
      <w:pPr>
        <w:pStyle w:val="Heading1"/>
      </w:pPr>
      <w:r>
        <w:t xml:space="preserve">UPS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Consolidated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~$22.0B vs. cons $21.80B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Domestic Segment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~7.6% vs. cons/guide midpoint ~8.0%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~$89.7B vs. cons $89.9B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~$6.75 (flat to 2025) vs. cons $6.85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U.S. Domestic Operating Margin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~8.5-9.5% vs. cons ~9.0%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-2.7% (FADE)</w:t>
            </w:r>
          </w:p>
        </w:tc>
        <w:tc>
          <w:tcPr/>
          <w:p>
            <w:pPr>
              <w:pStyle w:val="Compact"/>
            </w:pPr>
            <w:r>
              <w:t xml:space="preserve">Even with a modest headline EPS/revenue beat, the critical U.S. Domestic margin likely lands short of the guided 7.5-8.5% range, undercutting the 'inflection is real' thesis after the stock's run to $117. That, combined with cautious commentary on Europe de minimis elimination and the August 1 Teamsters wage step-up, should trigger sell-side trims to H2/2027 EPS even after any initial optics-driven bounce, causing an initial move to fade over the following days as analysts reconcile segment-level guidance against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2026-07-28T00:19:55Z</dcterms:created>
  <dcterms:modified xsi:type="dcterms:W3CDTF">2026-07-28T00:19:55Z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