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ups-nyse-ups-q2-2026-earnings-preview"/>
    <w:p>
      <w:pPr>
        <w:pStyle w:val="Heading1"/>
      </w:pPr>
      <w:r>
        <w:t xml:space="preserve">UPS (NYSE: UPS) Q2 2026 Earnings Preview</w:t>
      </w:r>
    </w:p>
    <w:p>
      <w:pPr>
        <w:pStyle w:val="FirstParagraph"/>
      </w:pPr>
      <w:r>
        <w:rPr>
          <w:b/>
          <w:bCs/>
        </w:rPr>
        <w:t xml:space="preserve">Report date:</w:t>
      </w:r>
      <w:r>
        <w:t xml:space="preserve"> </w:t>
      </w:r>
      <w:r>
        <w:t xml:space="preserve">Tuesday, July 28, 2026, ~6:00 a.m. ET (results); 8:30 a.m. ET call with CEO Carol Tomé and CFO Brian Dykes.</w:t>
      </w:r>
    </w:p>
    <w:bookmarkStart w:id="9" w:name="X41e0165d807315ed66aaf457af4fbea1b7dd8ed"/>
    <w:p>
      <w:pPr>
        <w:pStyle w:val="Heading2"/>
      </w:pPr>
      <w:r>
        <w:t xml:space="preserve">Setup: A "prove it" quarter after a messy Q1</w:t>
      </w:r>
    </w:p>
    <w:p>
      <w:pPr>
        <w:pStyle w:val="FirstParagraph"/>
      </w:pPr>
      <w:r>
        <w:t xml:space="preserve">UPS enters this print in the middle of the most disruptive restructuring in its history — a 50% reduction of Amazon volume, a full U.S. network reconfiguration, and a $3 billion cost-out program — all of which management has said should reach an inflection point in the second half of 2026. Q1 came in messier than headline numbers suggested: the U.S. Domestic segment delivered $565 million in operating profit and operating margin of 4%, including a 250 basis point negative impact from short-term cost pressures tied to temporary aircraft leases, Ground Saver transition costs, weather and casualty expense. Management was explicit that these pressures are largely behind us and that consolidated revenue and operating profit growth with margin expansion were expected to return in the second quarter.</w:t>
      </w:r>
    </w:p>
    <w:p>
      <w:pPr>
        <w:pStyle w:val="BodyText"/>
      </w:pPr>
      <w:r>
        <w:t xml:space="preserve">That makes Q2 the first real test of whether the "inflection" narrative is playing out on schedule.</w:t>
      </w:r>
    </w:p>
    <w:bookmarkEnd w:id="9"/>
    <w:bookmarkStart w:id="10" w:name="consensus-expectations"/>
    <w:p>
      <w:pPr>
        <w:pStyle w:val="Heading2"/>
      </w:pPr>
      <w:r>
        <w:t xml:space="preserve">Consensus expectations</w:t>
      </w:r>
    </w:p>
    <w:p>
      <w:pPr>
        <w:pStyle w:val="FirstParagraph"/>
      </w:pPr>
      <w:r>
        <w:t xml:space="preserve">Wall Street is looking for continued but modest growth:</w:t>
      </w:r>
    </w:p>
    <w:p>
      <w:pPr>
        <w:pStyle w:val="Compact"/>
        <w:numPr>
          <w:ilvl w:val="0"/>
          <w:numId w:val="1001"/>
        </w:numPr>
      </w:pPr>
      <w:r>
        <w:rPr>
          <w:b/>
          <w:bCs/>
        </w:rPr>
        <w:t xml:space="preserve">EPS:</w:t>
      </w:r>
      <w:r>
        <w:t xml:space="preserve"> </w:t>
      </w:r>
      <w:r>
        <w:t xml:space="preserve">Consensus around</w:t>
      </w:r>
      <w:r>
        <w:t xml:space="preserve"> </w:t>
      </w:r>
      <m:oMath>
        <m:r>
          <m:t>1.65</m:t>
        </m:r>
        <m:r>
          <m:rPr>
            <m:sty m:val="p"/>
          </m:rPr>
          <m:t>–</m:t>
        </m:r>
      </m:oMath>
      <w:r>
        <w:rPr>
          <w:b/>
          <w:bCs/>
        </w:rPr>
        <w:t xml:space="preserve">1.66</w:t>
      </w:r>
      <w:r>
        <w:t xml:space="preserve"> </w:t>
      </w:r>
      <w:r>
        <w:t xml:space="preserve">(range</w:t>
      </w:r>
      <w:r>
        <w:t xml:space="preserve"> </w:t>
      </w:r>
      <m:oMath>
        <m:r>
          <m:t>1.56</m:t>
        </m:r>
        <m:r>
          <m:rPr>
            <m:sty m:val="p"/>
          </m:rPr>
          <m:t>–</m:t>
        </m:r>
      </m:oMath>
      <w:r>
        <w:t xml:space="preserve">1.74 across ~24 analysts), implying roughly 6–7% growth versus last year's $1.55.</w:t>
      </w:r>
    </w:p>
    <w:p>
      <w:pPr>
        <w:pStyle w:val="Compact"/>
        <w:numPr>
          <w:ilvl w:val="0"/>
          <w:numId w:val="1001"/>
        </w:numPr>
      </w:pPr>
      <w:r>
        <w:rPr>
          <w:b/>
          <w:bCs/>
        </w:rPr>
        <w:t xml:space="preserve">Revenue:</w:t>
      </w:r>
      <w:r>
        <w:t xml:space="preserve"> </w:t>
      </w:r>
      <w:r>
        <w:t xml:space="preserve">Consensus around</w:t>
      </w:r>
      <w:r>
        <w:t xml:space="preserve"> </w:t>
      </w:r>
      <m:oMath>
        <m:r>
          <m:t>21.75</m:t>
        </m:r>
        <m:r>
          <m:rPr>
            <m:sty m:val="p"/>
          </m:rPr>
          <m:t>–</m:t>
        </m:r>
      </m:oMath>
      <w:r>
        <w:rPr>
          <w:b/>
          <w:bCs/>
        </w:rPr>
        <w:t xml:space="preserve">21.84 billion</w:t>
      </w:r>
      <w:r>
        <w:t xml:space="preserve">, versus $21.22 billion a year ago (~2.5–2.9% growth).</w:t>
      </w:r>
    </w:p>
    <w:p>
      <w:pPr>
        <w:pStyle w:val="Compact"/>
        <w:numPr>
          <w:ilvl w:val="0"/>
          <w:numId w:val="1001"/>
        </w:numPr>
      </w:pPr>
      <w:r>
        <w:t xml:space="preserve">Estimates have drifted</w:t>
      </w:r>
      <w:r>
        <w:t xml:space="preserve"> </w:t>
      </w:r>
      <w:r>
        <w:rPr>
          <w:b/>
          <w:bCs/>
        </w:rPr>
        <w:t xml:space="preserve">higher</w:t>
      </w:r>
      <w:r>
        <w:t xml:space="preserve"> </w:t>
      </w:r>
      <w:r>
        <w:t xml:space="preserve">over the past 90 days (EPS consensus up from ~$1.59 three months ago), suggesting improving sentiment into the print, even as one recent 30-day read showed a slight downward tweak.</w:t>
      </w:r>
    </w:p>
    <w:p>
      <w:pPr>
        <w:pStyle w:val="Compact"/>
        <w:numPr>
          <w:ilvl w:val="0"/>
          <w:numId w:val="1001"/>
        </w:numPr>
      </w:pPr>
      <w:r>
        <w:t xml:space="preserve">UPS has beaten Zacks consensus in three of the last four quarters.</w:t>
      </w:r>
    </w:p>
    <w:bookmarkEnd w:id="10"/>
    <w:bookmarkStart w:id="11" w:name="company-guidance-for-q2-set-in-april"/>
    <w:p>
      <w:pPr>
        <w:pStyle w:val="Heading2"/>
      </w:pPr>
      <w:r>
        <w:t xml:space="preserve">Company guidance for Q2 (set in April)</w:t>
      </w:r>
    </w:p>
    <w:p>
      <w:pPr>
        <w:pStyle w:val="FirstParagraph"/>
      </w:pPr>
      <w:r>
        <w:t xml:space="preserve">Management gave unusually specific segment-level Q2 guidance on the Q1 call that investors will hold them to:</w:t>
      </w:r>
    </w:p>
    <w:p>
      <w:pPr>
        <w:pStyle w:val="Compact"/>
        <w:numPr>
          <w:ilvl w:val="0"/>
          <w:numId w:val="1002"/>
        </w:numPr>
      </w:pPr>
      <w:r>
        <w:rPr>
          <w:b/>
          <w:bCs/>
        </w:rPr>
        <w:t xml:space="preserve">U.S. Domestic:</w:t>
      </w:r>
      <w:r>
        <w:t xml:space="preserve"> </w:t>
      </w:r>
      <w:r>
        <w:t xml:space="preserve">revenue expected to be up low single digits and operating margin between 7.5% and 8.5%, a sharp step-up from Q1's 4.0% adjusted margin.</w:t>
      </w:r>
    </w:p>
    <w:p>
      <w:pPr>
        <w:pStyle w:val="Compact"/>
        <w:numPr>
          <w:ilvl w:val="0"/>
          <w:numId w:val="1002"/>
        </w:numPr>
      </w:pPr>
      <w:r>
        <w:rPr>
          <w:b/>
          <w:bCs/>
        </w:rPr>
        <w:t xml:space="preserve">International:</w:t>
      </w:r>
      <w:r>
        <w:t xml:space="preserve"> </w:t>
      </w:r>
      <w:r>
        <w:t xml:space="preserve">low single-digit revenue growth and an operating margin between 13% and 14%, as the segment laps tough trade-policy comparisons and gets normal seasonal uplift.</w:t>
      </w:r>
    </w:p>
    <w:p>
      <w:pPr>
        <w:pStyle w:val="Compact"/>
        <w:numPr>
          <w:ilvl w:val="0"/>
          <w:numId w:val="1002"/>
        </w:numPr>
      </w:pPr>
      <w:r>
        <w:rPr>
          <w:b/>
          <w:bCs/>
        </w:rPr>
        <w:t xml:space="preserve">Supply Chain Solutions:</w:t>
      </w:r>
      <w:r>
        <w:t xml:space="preserve"> </w:t>
      </w:r>
      <w:r>
        <w:t xml:space="preserve">revenue up low single digits year-over-year and operating margin between 9.5% and 10.5%.</w:t>
      </w:r>
    </w:p>
    <w:p>
      <w:pPr>
        <w:pStyle w:val="Compact"/>
        <w:numPr>
          <w:ilvl w:val="0"/>
          <w:numId w:val="1002"/>
        </w:numPr>
      </w:pPr>
      <w:r>
        <w:rPr>
          <w:b/>
          <w:bCs/>
        </w:rPr>
        <w:t xml:space="preserve">Full year 2026 (reaffirmed):</w:t>
      </w:r>
      <w:r>
        <w:t xml:space="preserve"> </w:t>
      </w:r>
      <w:r>
        <w:t xml:space="preserve">consolidated revenue of approximately $89.7 billion and operating margin of approximately 9.6%, with diluted EPS expected to be about flat to 2025.</w:t>
      </w:r>
    </w:p>
    <w:p>
      <w:pPr>
        <w:pStyle w:val="FirstParagraph"/>
      </w:pPr>
      <w:r>
        <w:t xml:space="preserve">The size of the implied sequential jump in U.S. margin (roughly 350-450bps quarter-over-quarter) is the single biggest swing factor in this report — a beat or miss here will dominate the stock reaction.</w:t>
      </w:r>
    </w:p>
    <w:bookmarkEnd w:id="11"/>
    <w:bookmarkStart w:id="12" w:name="key-storylines-to-watch"/>
    <w:p>
      <w:pPr>
        <w:pStyle w:val="Heading2"/>
      </w:pPr>
      <w:r>
        <w:t xml:space="preserve">Key storylines to watch</w:t>
      </w:r>
    </w:p>
    <w:p>
      <w:pPr>
        <w:pStyle w:val="FirstParagraph"/>
      </w:pPr>
      <w:r>
        <w:rPr>
          <w:b/>
          <w:bCs/>
        </w:rPr>
        <w:t xml:space="preserve">1. Amazon glide-down completion.</w:t>
      </w:r>
      <w:r>
        <w:t xml:space="preserve"> </w:t>
      </w:r>
      <w:r>
        <w:t xml:space="preserve">UPS targeted a 50% cut in Amazon volume by June 2026, and Q1 showed a further reduction of non-lucrative Amazon volume by an average of 500,000 pieces per day and the closure of 23 additional buildings. By the end of Q1, Amazon made up 8.8% of total UPS revenue, down from north of 13%. Q2 should mark the final leg of this transition — watch for confirmation that the glide-down is fully complete and commentary on the "right-sized" Amazon relationship going forward (including reverse-logistics/returns opportunity).</w:t>
      </w:r>
    </w:p>
    <w:p>
      <w:pPr>
        <w:pStyle w:val="BodyText"/>
      </w:pPr>
      <w:r>
        <w:rPr>
          <w:b/>
          <w:bCs/>
        </w:rPr>
        <w:t xml:space="preserve">2. Cost actions rolling off as tailwinds.</w:t>
      </w:r>
      <w:r>
        <w:t xml:space="preserve"> </w:t>
      </w:r>
      <w:r>
        <w:t xml:space="preserve">Several one-time Q1 drags should reverse in Q2:</w:t>
      </w:r>
    </w:p>
    <w:p>
      <w:pPr>
        <w:pStyle w:val="Compact"/>
        <w:numPr>
          <w:ilvl w:val="0"/>
          <w:numId w:val="1003"/>
        </w:numPr>
      </w:pPr>
      <w:r>
        <w:t xml:space="preserve">The</w:t>
      </w:r>
      <w:r>
        <w:t xml:space="preserve"> </w:t>
      </w:r>
      <w:r>
        <w:rPr>
          <w:b/>
          <w:bCs/>
        </w:rPr>
        <w:t xml:space="preserve">Driver Choice</w:t>
      </w:r>
      <w:r>
        <w:t xml:space="preserve"> </w:t>
      </w:r>
      <w:r>
        <w:t xml:space="preserve">voluntary buyout (~7,500 full-time driver positions, oversubscribed) saw 77% of drivers leaving in April, which management said would provide a benefit in the second quarter as the roughly $150 million of Q1 transitional costs fade.</w:t>
      </w:r>
    </w:p>
    <w:p>
      <w:pPr>
        <w:pStyle w:val="Compact"/>
        <w:numPr>
          <w:ilvl w:val="0"/>
          <w:numId w:val="1003"/>
        </w:numPr>
      </w:pPr>
      <w:r>
        <w:t xml:space="preserve">The</w:t>
      </w:r>
      <w:r>
        <w:t xml:space="preserve"> </w:t>
      </w:r>
      <w:r>
        <w:rPr>
          <w:b/>
          <w:bCs/>
        </w:rPr>
        <w:t xml:space="preserve">USPS Ground Saver handoff</w:t>
      </w:r>
      <w:r>
        <w:t xml:space="preserve"> </w:t>
      </w:r>
      <w:r>
        <w:t xml:space="preserve">is now complete — Q1 tendered ~977,000 ADV to USPS, ramping toward around 1.5 million in Q2, which should improve density/cost-per-piece.</w:t>
      </w:r>
    </w:p>
    <w:p>
      <w:pPr>
        <w:pStyle w:val="Compact"/>
        <w:numPr>
          <w:ilvl w:val="0"/>
          <w:numId w:val="1003"/>
        </w:numPr>
      </w:pPr>
      <w:r>
        <w:rPr>
          <w:b/>
          <w:bCs/>
        </w:rPr>
        <w:t xml:space="preserve">MD-11 retirement/767 deliveries</w:t>
      </w:r>
      <w:r>
        <w:t xml:space="preserve"> </w:t>
      </w:r>
      <w:r>
        <w:t xml:space="preserve">should reduce the temporary elevated third-party aircraft lease costs that hurt Q1.</w:t>
      </w:r>
    </w:p>
    <w:p>
      <w:pPr>
        <w:pStyle w:val="Compact"/>
        <w:numPr>
          <w:ilvl w:val="0"/>
          <w:numId w:val="1003"/>
        </w:numPr>
      </w:pPr>
      <w:r>
        <w:t xml:space="preserve">Company reiterated it's firmly on track to achieve its $3 billion cost-out target for the year, with 30,000 operational position reductions and 50 building closures (23 done in Q1, 27 more planned mostly in Q2).</w:t>
      </w:r>
    </w:p>
    <w:p>
      <w:pPr>
        <w:pStyle w:val="FirstParagraph"/>
      </w:pPr>
      <w:r>
        <w:rPr>
          <w:b/>
          <w:bCs/>
        </w:rPr>
        <w:t xml:space="preserve">3. Revenue quality / mix shift still the core thesis.</w:t>
      </w:r>
      <w:r>
        <w:t xml:space="preserve"> </w:t>
      </w:r>
      <w:r>
        <w:t xml:space="preserve">UPS has leaned hard into SMB, B2B, and healthcare rather than chasing volume. In Q1, SMBs made up 34.5% of total U.S. volume, the highest SMB penetration in company history, and B2B represented 45.2% of total U.S. volume, the highest first-quarter B2B penetration in 6 years. Healthcare logistics also hit a milestone — UPS generated its first $3 billion healthcare revenue quarter ever, with all three segments delivering year-over-year growth. Watch for continued RPP (revenue-per-piece) strength and whether the 250–350bp CPP/RPP spread management targeted for year-end is tracking.</w:t>
      </w:r>
    </w:p>
    <w:p>
      <w:pPr>
        <w:pStyle w:val="BodyText"/>
      </w:pPr>
      <w:r>
        <w:rPr>
          <w:b/>
          <w:bCs/>
        </w:rPr>
        <w:t xml:space="preserve">4. Fuel/Middle East conflict — revenue tailwind, uncertain profit impact.</w:t>
      </w:r>
      <w:r>
        <w:t xml:space="preserve"> </w:t>
      </w:r>
      <w:r>
        <w:t xml:space="preserve">A March fuel spike from the Middle East conflict boosted surcharge revenue but management was cautious about the bottom-line benefit, noting fuel surcharge indexes protect profit but there could be revenue impact with offsetting expense, and it's too early to say how long high prices persist. Since guidance wasn't updated for fuel in April, any commentary on how this played out through Q2 will matter for the back half.</w:t>
      </w:r>
    </w:p>
    <w:p>
      <w:pPr>
        <w:pStyle w:val="BodyText"/>
      </w:pPr>
      <w:r>
        <w:rPr>
          <w:b/>
          <w:bCs/>
        </w:rPr>
        <w:t xml:space="preserve">5. International recovery pace.</w:t>
      </w:r>
      <w:r>
        <w:t xml:space="preserve"> </w:t>
      </w:r>
      <w:r>
        <w:t xml:space="preserve">Q1 beat expectations (12.1% adjusted margin vs. 10-11% guided), driven by premium-segment share gains in Europe and less-bad-than-feared China-U.S. trade lane declines. Management flagged normalization: with the elimination of the IEEPA tariff and reversion to 10% tariffs, trade lanes are moving from red to orange to yellow and in some cases green. However, Europe's</w:t>
      </w:r>
      <w:r>
        <w:t xml:space="preserve"> </w:t>
      </w:r>
      <w:r>
        <w:rPr>
          <w:b/>
          <w:bCs/>
        </w:rPr>
        <w:t xml:space="preserve">de minimis elimination this summer</w:t>
      </w:r>
      <w:r>
        <w:t xml:space="preserve"> </w:t>
      </w:r>
      <w:r>
        <w:t xml:space="preserve">is a watch item — management is taking a cautious outlook there given the disruption seen when the U.S. eliminated de minimis last year.</w:t>
      </w:r>
    </w:p>
    <w:p>
      <w:pPr>
        <w:pStyle w:val="BodyText"/>
      </w:pPr>
      <w:r>
        <w:rPr>
          <w:b/>
          <w:bCs/>
        </w:rPr>
        <w:t xml:space="preserve">6. Competitive backdrop.</w:t>
      </w:r>
      <w:r>
        <w:t xml:space="preserve"> </w:t>
      </w:r>
      <w:r>
        <w:t xml:space="preserve">FedEx's most recent (fiscal Q4/calendar transition) results showed strong momentum — FEC grew full-year revenue 9% and adjusted operating income 17%, delivering a 7.7% adjusted operating margin, the highest in four years — and FedEx is guiding to ~20% EPS growth in its transition period, underscoring that a rival is gaining profitable share in the same premium B2B/SMB/healthcare verticals UPS is targeting. This raises the bar on whether UPS's mix-shift strategy is translating into share gains or merely defending against erosion (UPS claimed 1.2% market share growth in Q1 excluding volume it deliberately ceded).</w:t>
      </w:r>
    </w:p>
    <w:p>
      <w:pPr>
        <w:pStyle w:val="BodyText"/>
      </w:pPr>
      <w:r>
        <w:rPr>
          <w:b/>
          <w:bCs/>
        </w:rPr>
        <w:t xml:space="preserve">7. Capital returns.</w:t>
      </w:r>
      <w:r>
        <w:t xml:space="preserve"> </w:t>
      </w:r>
      <w:r>
        <w:t xml:space="preserve">UPS still plans capital expenditures of about $3 billion, a pension contribution of $1.3 billion, free cash flow of approximately $5.5 billion (including Driver Choice one-time payments), and dividends of around $5.4 billion for 2026. Dividend sustainability and any signal on buybacks resuming will be watched given depressed EPS this year.</w:t>
      </w:r>
    </w:p>
    <w:p>
      <w:pPr>
        <w:pStyle w:val="BodyText"/>
      </w:pPr>
      <w:r>
        <w:rPr>
          <w:b/>
          <w:bCs/>
        </w:rPr>
        <w:t xml:space="preserve">8. Labor cost step-up.</w:t>
      </w:r>
      <w:r>
        <w:t xml:space="preserve"> </w:t>
      </w:r>
      <w:r>
        <w:t xml:space="preserve">The 2023–2028 Teamsters contract includes annual general wage increases each August 1 — a modest additional cost headwind to monitor in H2 guidance, even as headcount reductions from the network reconfiguration partially offset it.</w:t>
      </w:r>
    </w:p>
    <w:bookmarkEnd w:id="12"/>
    <w:bookmarkStart w:id="13" w:name="stock-setup"/>
    <w:p>
      <w:pPr>
        <w:pStyle w:val="Heading2"/>
      </w:pPr>
      <w:r>
        <w:t xml:space="preserve">Stock setup</w:t>
      </w:r>
    </w:p>
    <w:p>
      <w:pPr>
        <w:pStyle w:val="FirstParagraph"/>
      </w:pPr>
      <w:r>
        <w:t xml:space="preserve">UPS shares have recovered from a 2026 low near</w:t>
      </w:r>
      <w:r>
        <w:t xml:space="preserve"> </w:t>
      </w:r>
      <m:oMath>
        <m:r>
          <m:t>94.80</m:t>
        </m:r>
        <m:r>
          <m:rPr>
            <m:sty m:val="p"/>
          </m:rPr>
          <m:t>(</m:t>
        </m:r>
        <m:r>
          <m:t>l</m:t>
        </m:r>
        <m:r>
          <m:t>a</m:t>
        </m:r>
        <m:r>
          <m:t>t</m:t>
        </m:r>
        <m:r>
          <m:t>e</m:t>
        </m:r>
        <m:r>
          <m:t>M</m:t>
        </m:r>
        <m:r>
          <m:t>a</m:t>
        </m:r>
        <m:r>
          <m:t>r</m:t>
        </m:r>
        <m:r>
          <m:t>c</m:t>
        </m:r>
        <m:r>
          <m:t>h</m:t>
        </m:r>
        <m:r>
          <m:rPr>
            <m:sty m:val="p"/>
          </m:rPr>
          <m:t>,</m:t>
        </m:r>
        <m:r>
          <m:t>c</m:t>
        </m:r>
        <m:r>
          <m:t>o</m:t>
        </m:r>
        <m:r>
          <m:t>i</m:t>
        </m:r>
        <m:r>
          <m:t>n</m:t>
        </m:r>
        <m:r>
          <m:t>c</m:t>
        </m:r>
        <m:r>
          <m:t>i</m:t>
        </m:r>
        <m:r>
          <m:t>d</m:t>
        </m:r>
        <m:r>
          <m:t>i</m:t>
        </m:r>
        <m:r>
          <m:t>n</m:t>
        </m:r>
        <m:r>
          <m:t>g</m:t>
        </m:r>
        <m:r>
          <m:t>w</m:t>
        </m:r>
        <m:r>
          <m:t>i</m:t>
        </m:r>
        <m:r>
          <m:t>t</m:t>
        </m:r>
        <m:r>
          <m:t>h</m:t>
        </m:r>
        <m:r>
          <m:t>t</m:t>
        </m:r>
        <m:r>
          <m:t>a</m:t>
        </m:r>
        <m:r>
          <m:t>r</m:t>
        </m:r>
        <m:r>
          <m:t>i</m:t>
        </m:r>
        <m:r>
          <m:t>f</m:t>
        </m:r>
        <m:r>
          <m:t>f</m:t>
        </m:r>
        <m:r>
          <m:rPr>
            <m:sty m:val="p"/>
          </m:rPr>
          <m:t>/</m:t>
        </m:r>
        <m:r>
          <m:t>M</m:t>
        </m:r>
        <m:r>
          <m:t>i</m:t>
        </m:r>
        <m:r>
          <m:t>d</m:t>
        </m:r>
        <m:r>
          <m:t>d</m:t>
        </m:r>
        <m:r>
          <m:t>l</m:t>
        </m:r>
        <m:r>
          <m:t>e</m:t>
        </m:r>
        <m:r>
          <m:t>E</m:t>
        </m:r>
        <m:r>
          <m:t>a</m:t>
        </m:r>
        <m:r>
          <m:t>s</m:t>
        </m:r>
        <m:r>
          <m:t>t</m:t>
        </m:r>
        <m:r>
          <m:t>t</m:t>
        </m:r>
        <m:r>
          <m:t>u</m:t>
        </m:r>
        <m:r>
          <m:t>r</m:t>
        </m:r>
        <m:r>
          <m:t>m</m:t>
        </m:r>
        <m:r>
          <m:t>o</m:t>
        </m:r>
        <m:r>
          <m:t>i</m:t>
        </m:r>
        <m:r>
          <m:t>l</m:t>
        </m:r>
        <m:r>
          <m:rPr>
            <m:sty m:val="p"/>
          </m:rPr>
          <m:t>)</m:t>
        </m:r>
        <m:r>
          <m:t>t</m:t>
        </m:r>
        <m:r>
          <m:t>o</m:t>
        </m:r>
        <m:r>
          <m:t>t</m:t>
        </m:r>
        <m:r>
          <m:t>r</m:t>
        </m:r>
        <m:r>
          <m:t>a</m:t>
        </m:r>
        <m:r>
          <m:t>d</m:t>
        </m:r>
        <m:r>
          <m:t>e</m:t>
        </m:r>
        <m:r>
          <m:t>a</m:t>
        </m:r>
        <m:r>
          <m:t>r</m:t>
        </m:r>
        <m:r>
          <m:t>o</m:t>
        </m:r>
        <m:r>
          <m:t>u</m:t>
        </m:r>
        <m:r>
          <m:t>n</m:t>
        </m:r>
        <m:r>
          <m:t>d</m:t>
        </m:r>
        <m:r>
          <m:rPr>
            <m:sty m:val="p"/>
          </m:rPr>
          <m:t>*</m:t>
        </m:r>
        <m:r>
          <m:rPr>
            <m:sty m:val="p"/>
          </m:rPr>
          <m:t>*</m:t>
        </m:r>
      </m:oMath>
      <w:r>
        <w:t xml:space="preserve">113** heading into the print — up roughly 12% year-to-date but off a mid-July high near $117.72. The stock trades at a premium to its five-year median P/E (per GuruFocus, ~18.5x TTM vs. a 15.7x five-year median), with average analyst price targets in the $115-117 range and Street-high targets near $135, reflecting a "show-me" stance: analysts want proof that margins are inflecting before re-rating the stock materially higher.</w:t>
      </w:r>
    </w:p>
    <w:bookmarkEnd w:id="13"/>
    <w:bookmarkStart w:id="14" w:name="bottom-line-for-investors"/>
    <w:p>
      <w:pPr>
        <w:pStyle w:val="Heading2"/>
      </w:pPr>
      <w:r>
        <w:t xml:space="preserve">Bottom line for investors</w:t>
      </w:r>
    </w:p>
    <w:p>
      <w:pPr>
        <w:pStyle w:val="FirstParagraph"/>
      </w:pPr>
      <w:r>
        <w:t xml:space="preserve">This report is less about the headline EPS/revenue beat-or-miss and more about</w:t>
      </w:r>
      <w:r>
        <w:t xml:space="preserve"> </w:t>
      </w:r>
      <w:r>
        <w:rPr>
          <w:b/>
          <w:bCs/>
        </w:rPr>
        <w:t xml:space="preserve">execution proof points</w:t>
      </w:r>
      <w:r>
        <w:t xml:space="preserve">: (1) does U.S. Domestic margin actually jump into the 7.5–8.5% guided range, confirming the cost actions are landing on schedule; (2) is the Amazon glide-down fully wrapped with a "cleaner" mix; (3) does International sustain its recent outperformance as trade lanes normalize; and (4) does management reaffirm — or better yet, sharpen — confidence in 2027 as the year margins are supposed to meaningfully expand. A clean beat with confirmed sequential margin inflection would validate the multi-quarter restructuring thesis; a miss or another round of "transitory" cost pressures would reignite doubts about whether the back-half acceleration Carol Tomé has repeatedly promised is real.</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2026-07-28T00:19:55Z</dcterms:created>
  <dcterms:modified xsi:type="dcterms:W3CDTF">2026-07-28T00:19:55Z</dcterms:modified>
</cp:coreProperties>
</file>

<file path=docProps/custom.xml><?xml version="1.0" encoding="utf-8"?>
<Properties xmlns="http://schemas.openxmlformats.org/officeDocument/2006/custom-properties" xmlns:vt="http://schemas.openxmlformats.org/officeDocument/2006/docPropsVTypes"/>
</file>