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ps-earnings-predictions--2026-07-28"/>
    <w:p>
      <w:pPr>
        <w:pStyle w:val="Heading1"/>
      </w:pPr>
      <w:r>
        <w:t xml:space="preserve">UPS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 vs. cons $1.65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~$21.85B vs. cons $21.68B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Domestic 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~8.2% vs. cons 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~$89.7B vs. cons $90.3B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~9.6% vs. cons 9.6%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~$7.16 vs. cons $7.10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~$5.5B vs. cons $5.5B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+1.1% (FADE)</w:t>
            </w:r>
          </w:p>
        </w:tc>
        <w:tc>
          <w:tcPr/>
          <w:p>
            <w:pPr>
              <w:pStyle w:val="Compact"/>
            </w:pPr>
            <w:r>
              <w:t xml:space="preserve">Day-1 residual of ~+2.6% fades to a ~+1.1% five-day residual: domestic-margin execution supports the initial move, but an unchanged ~</w:t>
            </w:r>
            <m:oMath>
              <m:r>
                <m:t>89.7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90.3B consensus implies softer second-half revenue math and limits positive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2026-07-28T00:20:26Z</dcterms:created>
  <dcterms:modified xsi:type="dcterms:W3CDTF">2026-07-28T00:20:26Z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