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ups-2026-q2-earnings-preview"/>
    <w:p>
      <w:pPr>
        <w:pStyle w:val="Heading1"/>
      </w:pPr>
      <w:r>
        <w:t xml:space="preserve">UPS 2026 Q2 Earnings Preview</w:t>
      </w:r>
    </w:p>
    <w:p>
      <w:pPr>
        <w:pStyle w:val="BlockText"/>
      </w:pPr>
      <w:r>
        <w:rPr>
          <w:b/>
          <w:bCs/>
        </w:rPr>
        <w:t xml:space="preserve">Timing note:</w:t>
      </w:r>
      <w:r>
        <w:t xml:space="preserve"> </w:t>
      </w:r>
      <w:r>
        <w:t xml:space="preserve">UPS is scheduled to release results at approximately</w:t>
      </w:r>
      <w:r>
        <w:t xml:space="preserve"> </w:t>
      </w:r>
      <w:r>
        <w:rPr>
          <w:b/>
          <w:bCs/>
        </w:rPr>
        <w:t xml:space="preserve">6:00 a.m. ET on Tuesday, July 28, 2026</w:t>
      </w:r>
      <w:r>
        <w:t xml:space="preserve">, with its earnings call at</w:t>
      </w:r>
      <w:r>
        <w:t xml:space="preserve"> </w:t>
      </w:r>
      <w:r>
        <w:rPr>
          <w:b/>
          <w:bCs/>
        </w:rPr>
        <w:t xml:space="preserve">8:30 a.m. ET the same day</w:t>
      </w:r>
      <w:r>
        <w:t xml:space="preserve">—so, based on the stated current date, the event is</w:t>
      </w:r>
      <w:r>
        <w:t xml:space="preserve"> </w:t>
      </w:r>
      <w:r>
        <w:rPr>
          <w:b/>
          <w:bCs/>
        </w:rPr>
        <w:t xml:space="preserve">today rather than tomorrow</w:t>
      </w:r>
      <w:r>
        <w:t xml:space="preserve">. (</w:t>
      </w:r>
      <w:hyperlink r:id="rId9">
        <w:r>
          <w:rPr>
            <w:rStyle w:val="Hyperlink"/>
          </w:rPr>
          <w:t xml:space="preserve">investors.ups.com</w:t>
        </w:r>
      </w:hyperlink>
      <w:r>
        <w:t xml:space="preserve">)</w:t>
      </w:r>
    </w:p>
    <w:bookmarkStart w:id="10" w:name="investment-setup"/>
    <w:p>
      <w:pPr>
        <w:pStyle w:val="Heading2"/>
      </w:pPr>
      <w:r>
        <w:t xml:space="preserve">Investment setup</w:t>
      </w:r>
    </w:p>
    <w:p>
      <w:pPr>
        <w:pStyle w:val="FirstParagraph"/>
      </w:pPr>
      <w:r>
        <w:t xml:space="preserve">This is primarily an</w:t>
      </w:r>
      <w:r>
        <w:t xml:space="preserve"> </w:t>
      </w:r>
      <w:r>
        <w:rPr>
          <w:b/>
          <w:bCs/>
        </w:rPr>
        <w:t xml:space="preserve">execution and margin-conversion quarter</w:t>
      </w:r>
      <w:r>
        <w:t xml:space="preserve">, not a volume-growth quarter.</w:t>
      </w:r>
    </w:p>
    <w:p>
      <w:pPr>
        <w:pStyle w:val="BodyText"/>
      </w:pPr>
      <w:r>
        <w:t xml:space="preserve">UPS spent the first half of 2026 deliberately removing low-return packages—particularly Amazon and lower-yield e-commerce volume—while closing facilities, reducing staffing and outsourcing part of Ground Saver’s last-mile delivery to the USPS. The core question is whether those actions are now producing the promised improvement in unit costs and U.S. Domestic margins.</w:t>
      </w:r>
    </w:p>
    <w:p>
      <w:pPr>
        <w:pStyle w:val="BodyText"/>
      </w:pPr>
      <w:r>
        <w:t xml:space="preserve">The headline estimates matter, but the stock’s reaction will probably depend more on:</w:t>
      </w:r>
    </w:p>
    <w:p>
      <w:pPr>
        <w:pStyle w:val="Compact"/>
        <w:numPr>
          <w:ilvl w:val="0"/>
          <w:numId w:val="1001"/>
        </w:numPr>
      </w:pPr>
      <w:r>
        <w:t xml:space="preserve">Whether U.S. Domestic margin reaches management’s 7.5%–8.5% target.</w:t>
      </w:r>
    </w:p>
    <w:p>
      <w:pPr>
        <w:pStyle w:val="Compact"/>
        <w:numPr>
          <w:ilvl w:val="0"/>
          <w:numId w:val="1001"/>
        </w:numPr>
      </w:pPr>
      <w:r>
        <w:t xml:space="preserve">Whether cost per piece begins normalizing as temporary Q1 expenses disappear.</w:t>
      </w:r>
    </w:p>
    <w:p>
      <w:pPr>
        <w:pStyle w:val="Compact"/>
        <w:numPr>
          <w:ilvl w:val="0"/>
          <w:numId w:val="1001"/>
        </w:numPr>
      </w:pPr>
      <w:r>
        <w:t xml:space="preserve">Whether UPS maintains or improves its full-year guidance.</w:t>
      </w:r>
    </w:p>
    <w:p>
      <w:pPr>
        <w:pStyle w:val="Compact"/>
        <w:numPr>
          <w:ilvl w:val="0"/>
          <w:numId w:val="1001"/>
        </w:numPr>
      </w:pPr>
      <w:r>
        <w:t xml:space="preserve">Management’s confidence in the second-half—and especially 2027—margin trajectory.</w:t>
      </w:r>
    </w:p>
    <w:bookmarkEnd w:id="10"/>
    <w:bookmarkStart w:id="12" w:name="expectations"/>
    <w:p>
      <w:pPr>
        <w:pStyle w:val="Heading2"/>
      </w:pPr>
      <w:r>
        <w:t xml:space="preserve">Expectations</w:t>
      </w:r>
    </w:p>
    <w:p>
      <w:pPr>
        <w:pStyle w:val="FirstParagraph"/>
      </w:pPr>
      <w:r>
        <w:t xml:space="preserve">Published consensus estimates vary slightly by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Approx. change</w:t>
            </w:r>
          </w:p>
        </w:tc>
      </w:tr>
      <w:tr>
        <w:tc>
          <w:tcPr/>
          <w:p>
            <w:pPr>
              <w:pStyle w:val="Compact"/>
            </w:pPr>
            <w:r>
              <w:t xml:space="preserve">Adjusted EPS</w:t>
            </w:r>
          </w:p>
        </w:tc>
        <w:tc>
          <w:tcPr/>
          <w:p>
            <w:pPr>
              <w:pStyle w:val="Compact"/>
              <w:jc w:val="right"/>
            </w:pPr>
            <m:oMath>
              <m:r>
                <m:t>1.65</m:t>
              </m:r>
              <m:r>
                <m:rPr>
                  <m:sty m:val="p"/>
                </m:rPr>
                <m:t>–</m:t>
              </m:r>
            </m:oMath>
            <w:r>
              <w:rPr>
                <w:b/>
                <w:bCs/>
              </w:rPr>
              <w:t xml:space="preserve">1.66</w:t>
            </w:r>
          </w:p>
        </w:tc>
        <w:tc>
          <w:tcPr/>
          <w:p>
            <w:pPr>
              <w:pStyle w:val="Compact"/>
              <w:jc w:val="right"/>
            </w:pPr>
            <w:r>
              <w:t xml:space="preserve">$1.55</w:t>
            </w:r>
          </w:p>
        </w:tc>
        <w:tc>
          <w:tcPr/>
          <w:p>
            <w:pPr>
              <w:pStyle w:val="Compact"/>
              <w:jc w:val="right"/>
            </w:pPr>
            <w:r>
              <w:t xml:space="preserve">+6% to +7%</w:t>
            </w:r>
          </w:p>
        </w:tc>
      </w:tr>
      <w:tr>
        <w:tc>
          <w:tcPr/>
          <w:p>
            <w:pPr>
              <w:pStyle w:val="Compact"/>
            </w:pPr>
            <w:r>
              <w:t xml:space="preserve">Revenue</w:t>
            </w:r>
          </w:p>
        </w:tc>
        <w:tc>
          <w:tcPr/>
          <w:p>
            <w:pPr>
              <w:pStyle w:val="Compact"/>
              <w:jc w:val="right"/>
            </w:pPr>
            <m:oMath>
              <m:r>
                <m:t>21.7</m:t>
              </m:r>
              <m:r>
                <m:t>B</m:t>
              </m:r>
              <m:r>
                <m:rPr>
                  <m:sty m:val="p"/>
                </m:rPr>
                <m:t>–</m:t>
              </m:r>
            </m:oMath>
            <w:r>
              <w:rPr>
                <w:b/>
                <w:bCs/>
              </w:rPr>
              <w:t xml:space="preserve">21.9B</w:t>
            </w:r>
          </w:p>
        </w:tc>
        <w:tc>
          <w:tcPr/>
          <w:p>
            <w:pPr>
              <w:pStyle w:val="Compact"/>
              <w:jc w:val="right"/>
            </w:pPr>
            <w:r>
              <w:t xml:space="preserve">$21.2B</w:t>
            </w:r>
          </w:p>
        </w:tc>
        <w:tc>
          <w:tcPr/>
          <w:p>
            <w:pPr>
              <w:pStyle w:val="Compact"/>
              <w:jc w:val="right"/>
            </w:pPr>
            <w:r>
              <w:t xml:space="preserve">+2% to +3%</w:t>
            </w:r>
          </w:p>
        </w:tc>
      </w:tr>
    </w:tbl>
    <w:p>
      <w:pPr>
        <w:pStyle w:val="BodyText"/>
      </w:pPr>
      <w:r>
        <w:t xml:space="preserve">Zacks puts consensus at</w:t>
      </w:r>
      <w:r>
        <w:t xml:space="preserve"> </w:t>
      </w:r>
      <w:r>
        <w:rPr>
          <w:b/>
          <w:bCs/>
        </w:rPr>
        <w:t xml:space="preserve">$1.65 of EPS and $21.75 billion of revenue</w:t>
      </w:r>
      <w:r>
        <w:t xml:space="preserve">, while other aggregators are clustered around $1.66 and</w:t>
      </w:r>
      <w:r>
        <w:t xml:space="preserve"> </w:t>
      </w:r>
      <m:oMath>
        <m:r>
          <m:t>21.7</m:t>
        </m:r>
        <m:r>
          <m:t>b</m:t>
        </m:r>
        <m:r>
          <m:t>i</m:t>
        </m:r>
        <m:r>
          <m:t>l</m:t>
        </m:r>
        <m:r>
          <m:t>l</m:t>
        </m:r>
        <m:r>
          <m:t>i</m:t>
        </m:r>
        <m:r>
          <m:t>o</m:t>
        </m:r>
        <m:r>
          <m:t>n</m:t>
        </m:r>
        <m:r>
          <m:rPr>
            <m:sty m:val="p"/>
          </m:rPr>
          <m:t>–</m:t>
        </m:r>
      </m:oMath>
      <w:r>
        <w:t xml:space="preserve">21.9 billion. (</w:t>
      </w:r>
      <w:hyperlink r:id="rId11">
        <w:r>
          <w:rPr>
            <w:rStyle w:val="Hyperlink"/>
          </w:rPr>
          <w:t xml:space="preserve">tradingview.com</w:t>
        </w:r>
      </w:hyperlink>
      <w:r>
        <w:t xml:space="preserve">)</w:t>
      </w:r>
    </w:p>
    <w:p>
      <w:pPr>
        <w:pStyle w:val="BodyText"/>
      </w:pPr>
      <w:r>
        <w:t xml:space="preserve">UPS entered the quarter with the following company targets: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jc w:val="right"/>
            </w:pPr>
            <w:r>
              <w:t xml:space="preserve">Q2 revenue outlook</w:t>
            </w:r>
          </w:p>
        </w:tc>
        <w:tc>
          <w:tcPr/>
          <w:p>
            <w:pPr>
              <w:pStyle w:val="Compact"/>
              <w:jc w:val="right"/>
            </w:pPr>
            <w:r>
              <w:t xml:space="preserve">Q2 adjusted margin outlook</w:t>
            </w:r>
          </w:p>
        </w:tc>
      </w:tr>
      <w:tr>
        <w:tc>
          <w:tcPr/>
          <w:p>
            <w:pPr>
              <w:pStyle w:val="Compact"/>
            </w:pPr>
            <w:r>
              <w:t xml:space="preserve">U.S. Domestic</w:t>
            </w:r>
          </w:p>
        </w:tc>
        <w:tc>
          <w:tcPr/>
          <w:p>
            <w:pPr>
              <w:pStyle w:val="Compact"/>
              <w:jc w:val="right"/>
            </w:pPr>
            <w:r>
              <w:t xml:space="preserve">Low-single-digit growth</w:t>
            </w:r>
          </w:p>
        </w:tc>
        <w:tc>
          <w:tcPr/>
          <w:p>
            <w:pPr>
              <w:pStyle w:val="Compact"/>
              <w:jc w:val="right"/>
            </w:pPr>
            <w:r>
              <w:rPr>
                <w:b/>
                <w:bCs/>
              </w:rPr>
              <w:t xml:space="preserve">7.5%–8.5%</w:t>
            </w:r>
          </w:p>
        </w:tc>
      </w:tr>
      <w:tr>
        <w:tc>
          <w:tcPr/>
          <w:p>
            <w:pPr>
              <w:pStyle w:val="Compact"/>
            </w:pPr>
            <w:r>
              <w:t xml:space="preserve">International</w:t>
            </w:r>
          </w:p>
        </w:tc>
        <w:tc>
          <w:tcPr/>
          <w:p>
            <w:pPr>
              <w:pStyle w:val="Compact"/>
              <w:jc w:val="right"/>
            </w:pPr>
            <w:r>
              <w:t xml:space="preserve">Low-single-digit growth</w:t>
            </w:r>
          </w:p>
        </w:tc>
        <w:tc>
          <w:tcPr/>
          <w:p>
            <w:pPr>
              <w:pStyle w:val="Compact"/>
              <w:jc w:val="right"/>
            </w:pPr>
            <w:r>
              <w:rPr>
                <w:b/>
                <w:bCs/>
              </w:rPr>
              <w:t xml:space="preserve">13%–14%</w:t>
            </w:r>
          </w:p>
        </w:tc>
      </w:tr>
      <w:tr>
        <w:tc>
          <w:tcPr/>
          <w:p>
            <w:pPr>
              <w:pStyle w:val="Compact"/>
            </w:pPr>
            <w:r>
              <w:t xml:space="preserve">Supply Chain Solutions</w:t>
            </w:r>
          </w:p>
        </w:tc>
        <w:tc>
          <w:tcPr/>
          <w:p>
            <w:pPr>
              <w:pStyle w:val="Compact"/>
              <w:jc w:val="right"/>
            </w:pPr>
            <w:r>
              <w:t xml:space="preserve">Low-single-digit growth</w:t>
            </w:r>
          </w:p>
        </w:tc>
        <w:tc>
          <w:tcPr/>
          <w:p>
            <w:pPr>
              <w:pStyle w:val="Compact"/>
              <w:jc w:val="right"/>
            </w:pPr>
            <w:r>
              <w:rPr>
                <w:b/>
                <w:bCs/>
              </w:rPr>
              <w:t xml:space="preserve">9.5%–10.5%</w:t>
            </w:r>
          </w:p>
        </w:tc>
      </w:tr>
    </w:tbl>
    <w:p>
      <w:pPr>
        <w:pStyle w:val="BodyText"/>
      </w:pPr>
      <w:r>
        <w:t xml:space="preserve">Using roughly 2% revenue growth and the midpoints of those margin ranges implies a consolidated adjusted operating margin around</w:t>
      </w:r>
      <w:r>
        <w:t xml:space="preserve"> </w:t>
      </w:r>
      <w:r>
        <w:rPr>
          <w:b/>
          <w:bCs/>
        </w:rPr>
        <w:t xml:space="preserve">9.4%</w:t>
      </w:r>
      <w:r>
        <w:t xml:space="preserve">. That would be a sharp sequential improvement from Q1’s 6.2% and modestly above Q2 2025’s 8.8%.</w:t>
      </w:r>
    </w:p>
    <w:bookmarkEnd w:id="12"/>
    <w:bookmarkStart w:id="18" w:name="Xfe55b245f00983a01c0f40859e8339517fa8107"/>
    <w:p>
      <w:pPr>
        <w:pStyle w:val="Heading2"/>
      </w:pPr>
      <w:r>
        <w:t xml:space="preserve">The central issue: Can costs finally catch up with volume?</w:t>
      </w:r>
    </w:p>
    <w:p>
      <w:pPr>
        <w:pStyle w:val="FirstParagraph"/>
      </w:pPr>
      <w:r>
        <w:t xml:space="preserve">UPS’s Q1 results illustrated the central tension in the turnaround:</w:t>
      </w:r>
    </w:p>
    <w:p>
      <w:pPr>
        <w:pStyle w:val="Compact"/>
        <w:numPr>
          <w:ilvl w:val="0"/>
          <w:numId w:val="1002"/>
        </w:numPr>
      </w:pPr>
      <w:r>
        <w:t xml:space="preserve">U.S. Domestic average daily volume declined</w:t>
      </w:r>
      <w:r>
        <w:t xml:space="preserve"> </w:t>
      </w:r>
      <w:r>
        <w:rPr>
          <w:b/>
          <w:bCs/>
        </w:rPr>
        <w:t xml:space="preserve">8.0%</w:t>
      </w:r>
      <w:r>
        <w:t xml:space="preserve">.</w:t>
      </w:r>
    </w:p>
    <w:p>
      <w:pPr>
        <w:pStyle w:val="Compact"/>
        <w:numPr>
          <w:ilvl w:val="0"/>
          <w:numId w:val="1002"/>
        </w:numPr>
      </w:pPr>
      <w:r>
        <w:t xml:space="preserve">U.S. revenue per piece increased</w:t>
      </w:r>
      <w:r>
        <w:t xml:space="preserve"> </w:t>
      </w:r>
      <w:r>
        <w:rPr>
          <w:b/>
          <w:bCs/>
        </w:rPr>
        <w:t xml:space="preserve">6.5%</w:t>
      </w:r>
      <w:r>
        <w:t xml:space="preserve">.</w:t>
      </w:r>
    </w:p>
    <w:p>
      <w:pPr>
        <w:pStyle w:val="Compact"/>
        <w:numPr>
          <w:ilvl w:val="0"/>
          <w:numId w:val="1002"/>
        </w:numPr>
      </w:pPr>
      <w:r>
        <w:t xml:space="preserve">Yet adjusted cost per piece increased</w:t>
      </w:r>
      <w:r>
        <w:t xml:space="preserve"> </w:t>
      </w:r>
      <w:r>
        <w:rPr>
          <w:b/>
          <w:bCs/>
        </w:rPr>
        <w:t xml:space="preserve">9.5%</w:t>
      </w:r>
      <w:r>
        <w:t xml:space="preserve">.</w:t>
      </w:r>
    </w:p>
    <w:p>
      <w:pPr>
        <w:pStyle w:val="Compact"/>
        <w:numPr>
          <w:ilvl w:val="0"/>
          <w:numId w:val="1002"/>
        </w:numPr>
      </w:pPr>
      <w:r>
        <w:t xml:space="preserve">U.S. Domestic adjusted margin fell to just</w:t>
      </w:r>
      <w:r>
        <w:t xml:space="preserve"> </w:t>
      </w:r>
      <w:r>
        <w:rPr>
          <w:b/>
          <w:bCs/>
        </w:rPr>
        <w:t xml:space="preserve">4.0%</w:t>
      </w:r>
      <w:r>
        <w:t xml:space="preserve">.</w:t>
      </w:r>
    </w:p>
    <w:p>
      <w:pPr>
        <w:pStyle w:val="FirstParagraph"/>
      </w:pPr>
      <w:r>
        <w:t xml:space="preserve">The problem was not simply weak demand. UPS identified approximately</w:t>
      </w:r>
      <w:r>
        <w:t xml:space="preserve"> </w:t>
      </w:r>
      <w:r>
        <w:rPr>
          <w:b/>
          <w:bCs/>
        </w:rPr>
        <w:t xml:space="preserve">$350 million</w:t>
      </w:r>
      <w:r>
        <w:t xml:space="preserve"> </w:t>
      </w:r>
      <w:r>
        <w:t xml:space="preserve">of short-term expenses, including Ground Saver transition costs, excess staffing, leased-aircraft expense, weather and casualty costs. Management said most of those pressures would abate in Q2. UPS nevertheless delivered $21.2 billion of Q1 revenue and $1.07 of adjusted EPS, both modestly above expectations. (</w:t>
      </w:r>
      <w:hyperlink r:id="rId13">
        <w:r>
          <w:rPr>
            <w:rStyle w:val="Hyperlink"/>
          </w:rPr>
          <w:t xml:space="preserve">investors.ups.com</w:t>
        </w:r>
      </w:hyperlink>
      <w:r>
        <w:t xml:space="preserve">)</w:t>
      </w:r>
    </w:p>
    <w:p>
      <w:pPr>
        <w:pStyle w:val="BodyText"/>
      </w:pPr>
      <w:r>
        <w:t xml:space="preserve">For Q2, watch three metrics together:</w:t>
      </w:r>
    </w:p>
    <w:bookmarkStart w:id="14" w:name="X5cec07b131addb0c03fbd30ed0518ef55a92ff4"/>
    <w:p>
      <w:pPr>
        <w:pStyle w:val="Heading3"/>
      </w:pPr>
      <w:r>
        <w:t xml:space="preserve">1. U.S. Domestic adjusted margin</w:t>
      </w:r>
    </w:p>
    <w:p>
      <w:pPr>
        <w:pStyle w:val="FirstParagraph"/>
      </w:pPr>
      <w:r>
        <w:t xml:space="preserve">This is the cleanest scorecard. The company’s 7.5%–8.5% target compares with:</w:t>
      </w:r>
    </w:p>
    <w:p>
      <w:pPr>
        <w:pStyle w:val="Compact"/>
        <w:numPr>
          <w:ilvl w:val="0"/>
          <w:numId w:val="1003"/>
        </w:numPr>
      </w:pPr>
      <w:r>
        <w:t xml:space="preserve">4.0% in Q1 2026.</w:t>
      </w:r>
    </w:p>
    <w:p>
      <w:pPr>
        <w:pStyle w:val="Compact"/>
        <w:numPr>
          <w:ilvl w:val="0"/>
          <w:numId w:val="1003"/>
        </w:numPr>
      </w:pPr>
      <w:r>
        <w:t xml:space="preserve">7.0% in Q2 2025.</w:t>
      </w:r>
    </w:p>
    <w:p>
      <w:pPr>
        <w:pStyle w:val="FirstParagraph"/>
      </w:pPr>
      <w:r>
        <w:t xml:space="preserve">A result near 8% would demonstrate that Q1’s weakness was genuinely transitional. A result below 7.5% would suggest that network costs remain sticky even after a large workforce and capacity reduction.</w:t>
      </w:r>
    </w:p>
    <w:bookmarkEnd w:id="14"/>
    <w:bookmarkStart w:id="15" w:name="X632de78b3d11115ce914586f03d8f8bba9db3d6"/>
    <w:p>
      <w:pPr>
        <w:pStyle w:val="Heading3"/>
      </w:pPr>
      <w:r>
        <w:t xml:space="preserve">2. Cost per piece versus revenue per piece</w:t>
      </w:r>
    </w:p>
    <w:p>
      <w:pPr>
        <w:pStyle w:val="FirstParagraph"/>
      </w:pPr>
      <w:r>
        <w:t xml:space="preserve">UPS wants to restore a healthy positive spread between revenue-per-piece growth and cost-per-piece growth.</w:t>
      </w:r>
    </w:p>
    <w:p>
      <w:pPr>
        <w:pStyle w:val="BodyText"/>
      </w:pPr>
      <w:r>
        <w:t xml:space="preserve">Revenue per piece should remain strong because of:</w:t>
      </w:r>
    </w:p>
    <w:p>
      <w:pPr>
        <w:pStyle w:val="Compact"/>
        <w:numPr>
          <w:ilvl w:val="0"/>
          <w:numId w:val="1004"/>
        </w:numPr>
      </w:pPr>
      <w:r>
        <w:t xml:space="preserve">Base pricing.</w:t>
      </w:r>
    </w:p>
    <w:p>
      <w:pPr>
        <w:pStyle w:val="Compact"/>
        <w:numPr>
          <w:ilvl w:val="0"/>
          <w:numId w:val="1004"/>
        </w:numPr>
      </w:pPr>
      <w:r>
        <w:t xml:space="preserve">Fuel surcharges.</w:t>
      </w:r>
    </w:p>
    <w:p>
      <w:pPr>
        <w:pStyle w:val="Compact"/>
        <w:numPr>
          <w:ilvl w:val="0"/>
          <w:numId w:val="1004"/>
        </w:numPr>
      </w:pPr>
      <w:r>
        <w:t xml:space="preserve">A richer SMB, B2B and healthcare mix.</w:t>
      </w:r>
    </w:p>
    <w:p>
      <w:pPr>
        <w:pStyle w:val="Compact"/>
        <w:numPr>
          <w:ilvl w:val="0"/>
          <w:numId w:val="1004"/>
        </w:numPr>
      </w:pPr>
      <w:r>
        <w:t xml:space="preserve">The removal of lower-yield packages.</w:t>
      </w:r>
    </w:p>
    <w:p>
      <w:pPr>
        <w:pStyle w:val="FirstParagraph"/>
      </w:pPr>
      <w:r>
        <w:t xml:space="preserve">But investors should distinguish genuine pricing and mix gains from fuel-surcharge revenue, which generally offsets higher fuel expense rather than creating equivalent incremental profit.</w:t>
      </w:r>
    </w:p>
    <w:p>
      <w:pPr>
        <w:pStyle w:val="BodyText"/>
      </w:pPr>
      <w:r>
        <w:t xml:space="preserve">The better signal would be</w:t>
      </w:r>
      <w:r>
        <w:t xml:space="preserve"> </w:t>
      </w:r>
      <w:r>
        <w:rPr>
          <w:b/>
          <w:bCs/>
        </w:rPr>
        <w:t xml:space="preserve">cost-per-piece growth falling toward the low single digits</w:t>
      </w:r>
      <w:r>
        <w:t xml:space="preserve">, particularly in the second half.</w:t>
      </w:r>
    </w:p>
    <w:bookmarkEnd w:id="15"/>
    <w:bookmarkStart w:id="17" w:name="X639561e5a9aae39080ae559bc9a272103fe30aa"/>
    <w:p>
      <w:pPr>
        <w:pStyle w:val="Heading3"/>
      </w:pPr>
      <w:r>
        <w:t xml:space="preserve">3. Productivity and capacity reductions</w:t>
      </w:r>
    </w:p>
    <w:p>
      <w:pPr>
        <w:pStyle w:val="FirstParagraph"/>
      </w:pPr>
      <w:r>
        <w:t xml:space="preserve">UPS previously targeted:</w:t>
      </w:r>
    </w:p>
    <w:p>
      <w:pPr>
        <w:pStyle w:val="Compact"/>
        <w:numPr>
          <w:ilvl w:val="0"/>
          <w:numId w:val="1005"/>
        </w:numPr>
      </w:pPr>
      <w:r>
        <w:t xml:space="preserve">Approximately</w:t>
      </w:r>
      <w:r>
        <w:t xml:space="preserve"> </w:t>
      </w:r>
      <w:r>
        <w:rPr>
          <w:b/>
          <w:bCs/>
        </w:rPr>
        <w:t xml:space="preserve">$3 billion of 2026 cost savings</w:t>
      </w:r>
      <w:r>
        <w:t xml:space="preserve">.</w:t>
      </w:r>
    </w:p>
    <w:p>
      <w:pPr>
        <w:pStyle w:val="Compact"/>
        <w:numPr>
          <w:ilvl w:val="0"/>
          <w:numId w:val="1005"/>
        </w:numPr>
      </w:pPr>
      <w:r>
        <w:t xml:space="preserve">A reduction of roughly</w:t>
      </w:r>
      <w:r>
        <w:t xml:space="preserve"> </w:t>
      </w:r>
      <w:r>
        <w:rPr>
          <w:b/>
          <w:bCs/>
        </w:rPr>
        <w:t xml:space="preserve">30,000 operational positions</w:t>
      </w:r>
      <w:r>
        <w:t xml:space="preserve">.</w:t>
      </w:r>
    </w:p>
    <w:p>
      <w:pPr>
        <w:pStyle w:val="Compact"/>
        <w:numPr>
          <w:ilvl w:val="0"/>
          <w:numId w:val="1005"/>
        </w:numPr>
      </w:pPr>
      <w:r>
        <w:t xml:space="preserve">Approximately</w:t>
      </w:r>
      <w:r>
        <w:t xml:space="preserve"> </w:t>
      </w:r>
      <w:r>
        <w:rPr>
          <w:b/>
          <w:bCs/>
        </w:rPr>
        <w:t xml:space="preserve">25 million fewer operating hours</w:t>
      </w:r>
      <w:r>
        <w:t xml:space="preserve">.</w:t>
      </w:r>
    </w:p>
    <w:p>
      <w:pPr>
        <w:pStyle w:val="Compact"/>
        <w:numPr>
          <w:ilvl w:val="0"/>
          <w:numId w:val="1005"/>
        </w:numPr>
      </w:pPr>
      <w:r>
        <w:t xml:space="preserve">Around</w:t>
      </w:r>
      <w:r>
        <w:t xml:space="preserve"> </w:t>
      </w:r>
      <w:r>
        <w:rPr>
          <w:b/>
          <w:bCs/>
        </w:rPr>
        <w:t xml:space="preserve">50 facility closures</w:t>
      </w:r>
      <w:r>
        <w:t xml:space="preserve"> </w:t>
      </w:r>
      <w:r>
        <w:t xml:space="preserve">during 2026.</w:t>
      </w:r>
    </w:p>
    <w:p>
      <w:pPr>
        <w:pStyle w:val="Compact"/>
        <w:numPr>
          <w:ilvl w:val="0"/>
          <w:numId w:val="1005"/>
        </w:numPr>
      </w:pPr>
      <w:r>
        <w:t xml:space="preserve">A reduction of roughly</w:t>
      </w:r>
      <w:r>
        <w:t xml:space="preserve"> </w:t>
      </w:r>
      <w:r>
        <w:rPr>
          <w:b/>
          <w:bCs/>
        </w:rPr>
        <w:t xml:space="preserve">7,500 full-time driver positions</w:t>
      </w:r>
      <w:r>
        <w:t xml:space="preserve"> </w:t>
      </w:r>
      <w:r>
        <w:t xml:space="preserve">through Driver Choice.</w:t>
      </w:r>
    </w:p>
    <w:p>
      <w:pPr>
        <w:pStyle w:val="FirstParagraph"/>
      </w:pPr>
      <w:r>
        <w:t xml:space="preserve">The first quarter produced about</w:t>
      </w:r>
      <w:r>
        <w:t xml:space="preserve"> </w:t>
      </w:r>
      <m:oMath>
        <m:r>
          <m:t>600</m:t>
        </m:r>
        <m:r>
          <m:t>m</m:t>
        </m:r>
        <m:r>
          <m:t>i</m:t>
        </m:r>
        <m:r>
          <m:t>l</m:t>
        </m:r>
        <m:r>
          <m:t>l</m:t>
        </m:r>
        <m:r>
          <m:t>i</m:t>
        </m:r>
        <m:r>
          <m:t>o</m:t>
        </m:r>
        <m:r>
          <m:t>n</m:t>
        </m:r>
        <m:r>
          <m:t>o</m:t>
        </m:r>
        <m:r>
          <m:t>f</m:t>
        </m:r>
        <m:r>
          <m:t>p</m:t>
        </m:r>
        <m:r>
          <m:t>r</m:t>
        </m:r>
        <m:r>
          <m:t>o</m:t>
        </m:r>
        <m:r>
          <m:t>g</m:t>
        </m:r>
        <m:r>
          <m:t>r</m:t>
        </m:r>
        <m:r>
          <m:t>a</m:t>
        </m:r>
        <m:r>
          <m:t>m</m:t>
        </m:r>
        <m:r>
          <m:t>s</m:t>
        </m:r>
        <m:r>
          <m:t>a</m:t>
        </m:r>
        <m:r>
          <m:t>v</m:t>
        </m:r>
        <m:r>
          <m:t>i</m:t>
        </m:r>
        <m:r>
          <m:t>n</m:t>
        </m:r>
        <m:r>
          <m:t>g</m:t>
        </m:r>
        <m:r>
          <m:t>s</m:t>
        </m:r>
        <m:r>
          <m:rPr>
            <m:sty m:val="p"/>
          </m:rPr>
          <m:t>,</m:t>
        </m:r>
        <m:r>
          <m:t>w</m:t>
        </m:r>
        <m:r>
          <m:t>h</m:t>
        </m:r>
        <m:r>
          <m:t>i</m:t>
        </m:r>
        <m:r>
          <m:t>l</m:t>
        </m:r>
        <m:r>
          <m:t>e</m:t>
        </m:r>
        <m:r>
          <m:t>23</m:t>
        </m:r>
        <m:r>
          <m:t>b</m:t>
        </m:r>
        <m:r>
          <m:t>u</m:t>
        </m:r>
        <m:r>
          <m:t>i</m:t>
        </m:r>
        <m:r>
          <m:t>l</m:t>
        </m:r>
        <m:r>
          <m:t>d</m:t>
        </m:r>
        <m:r>
          <m:t>i</m:t>
        </m:r>
        <m:r>
          <m:t>n</m:t>
        </m:r>
        <m:r>
          <m:t>g</m:t>
        </m:r>
        <m:r>
          <m:t>s</m:t>
        </m:r>
        <m:r>
          <m:t>w</m:t>
        </m:r>
        <m:r>
          <m:t>e</m:t>
        </m:r>
        <m:r>
          <m:t>r</m:t>
        </m:r>
        <m:r>
          <m:t>e</m:t>
        </m:r>
        <m:r>
          <m:t>c</m:t>
        </m:r>
        <m:r>
          <m:t>l</m:t>
        </m:r>
        <m:r>
          <m:t>o</m:t>
        </m:r>
        <m:r>
          <m:t>s</m:t>
        </m:r>
        <m:r>
          <m:t>e</m:t>
        </m:r>
        <m:r>
          <m:t>d</m:t>
        </m:r>
        <m:r>
          <m:t>a</m:t>
        </m:r>
        <m:r>
          <m:t>n</m:t>
        </m:r>
        <m:r>
          <m:t>d</m:t>
        </m:r>
        <m:r>
          <m:t>n</m:t>
        </m:r>
        <m:r>
          <m:t>e</m:t>
        </m:r>
        <m:r>
          <m:t>a</m:t>
        </m:r>
        <m:r>
          <m:t>r</m:t>
        </m:r>
        <m:r>
          <m:t>l</m:t>
        </m:r>
        <m:r>
          <m:t>y</m:t>
        </m:r>
        <m:r>
          <m:t>25</m:t>
        </m:r>
        <m:r>
          <m:rPr>
            <m:sty m:val="p"/>
          </m:rPr>
          <m:t>,</m:t>
        </m:r>
        <m:r>
          <m:t>000</m:t>
        </m:r>
        <m:r>
          <m:t>o</m:t>
        </m:r>
        <m:r>
          <m:t>p</m:t>
        </m:r>
        <m:r>
          <m:t>e</m:t>
        </m:r>
        <m:r>
          <m:t>r</m:t>
        </m:r>
        <m:r>
          <m:t>a</m:t>
        </m:r>
        <m:r>
          <m:t>t</m:t>
        </m:r>
        <m:r>
          <m:t>i</m:t>
        </m:r>
        <m:r>
          <m:t>o</m:t>
        </m:r>
        <m:r>
          <m:t>n</m:t>
        </m:r>
        <m:r>
          <m:t>a</m:t>
        </m:r>
        <m:r>
          <m:t>l</m:t>
        </m:r>
        <m:r>
          <m:t>p</m:t>
        </m:r>
        <m:r>
          <m:t>o</m:t>
        </m:r>
        <m:r>
          <m:t>s</m:t>
        </m:r>
        <m:r>
          <m:t>i</m:t>
        </m:r>
        <m:r>
          <m:t>t</m:t>
        </m:r>
        <m:r>
          <m:t>i</m:t>
        </m:r>
        <m:r>
          <m:t>o</m:t>
        </m:r>
        <m:r>
          <m:t>n</m:t>
        </m:r>
        <m:r>
          <m:t>s</m:t>
        </m:r>
        <m:r>
          <m:t>h</m:t>
        </m:r>
        <m:r>
          <m:t>a</m:t>
        </m:r>
        <m:r>
          <m:t>d</m:t>
        </m:r>
        <m:r>
          <m:t>a</m:t>
        </m:r>
        <m:r>
          <m:t>l</m:t>
        </m:r>
        <m:r>
          <m:t>r</m:t>
        </m:r>
        <m:r>
          <m:t>e</m:t>
        </m:r>
        <m:r>
          <m:t>a</m:t>
        </m:r>
        <m:r>
          <m:t>d</m:t>
        </m:r>
        <m:r>
          <m:t>y</m:t>
        </m:r>
        <m:r>
          <m:t>b</m:t>
        </m:r>
        <m:r>
          <m:t>e</m:t>
        </m:r>
        <m:r>
          <m:t>e</m:t>
        </m:r>
        <m:r>
          <m:t>n</m:t>
        </m:r>
        <m:r>
          <m:t>r</m:t>
        </m:r>
        <m:r>
          <m:t>e</m:t>
        </m:r>
        <m:r>
          <m:t>m</m:t>
        </m:r>
        <m:r>
          <m:t>o</m:t>
        </m:r>
        <m:r>
          <m:t>v</m:t>
        </m:r>
        <m:r>
          <m:t>e</m:t>
        </m:r>
        <m:r>
          <m:t>d</m:t>
        </m:r>
        <m:r>
          <m:t>y</m:t>
        </m:r>
        <m:r>
          <m:t>e</m:t>
        </m:r>
        <m:r>
          <m:t>a</m:t>
        </m:r>
        <m:r>
          <m:t>r</m:t>
        </m:r>
        <m:r>
          <m:t>o</m:t>
        </m:r>
        <m:r>
          <m:t>v</m:t>
        </m:r>
        <m:r>
          <m:t>e</m:t>
        </m:r>
        <m:r>
          <m:t>r</m:t>
        </m:r>
        <m:r>
          <m:t>y</m:t>
        </m:r>
        <m:r>
          <m:t>e</m:t>
        </m:r>
        <m:r>
          <m:t>a</m:t>
        </m:r>
        <m:r>
          <m:t>r</m:t>
        </m:r>
        <m:r>
          <m:rPr>
            <m:sty m:val="p"/>
          </m:rPr>
          <m:t>.</m:t>
        </m:r>
        <m:r>
          <m:t>T</m:t>
        </m:r>
        <m:r>
          <m:t>h</m:t>
        </m:r>
        <m:r>
          <m:t>e</m:t>
        </m:r>
        <m:r>
          <m:t>c</m:t>
        </m:r>
        <m:r>
          <m:t>o</m:t>
        </m:r>
        <m:r>
          <m:t>m</m:t>
        </m:r>
        <m:r>
          <m:t>p</m:t>
        </m:r>
        <m:r>
          <m:t>a</m:t>
        </m:r>
        <m:r>
          <m:t>n</m:t>
        </m:r>
        <m:r>
          <m:t>y</m:t>
        </m:r>
        <m:r>
          <m:rPr>
            <m:sty m:val="p"/>
          </m:rPr>
          <m:t>’</m:t>
        </m:r>
        <m:r>
          <m:t>s</m:t>
        </m:r>
        <m:r>
          <m:t>10</m:t>
        </m:r>
        <m:r>
          <m:rPr>
            <m:sty m:val="p"/>
          </m:rPr>
          <m:t>−</m:t>
        </m:r>
        <m:r>
          <m:t>Q</m:t>
        </m:r>
        <m:r>
          <m:t>a</m:t>
        </m:r>
        <m:r>
          <m:t>l</m:t>
        </m:r>
        <m:r>
          <m:t>s</m:t>
        </m:r>
        <m:r>
          <m:t>o</m:t>
        </m:r>
        <m:r>
          <m:t>i</m:t>
        </m:r>
        <m:r>
          <m:t>n</m:t>
        </m:r>
        <m:r>
          <m:t>d</m:t>
        </m:r>
        <m:r>
          <m:t>i</m:t>
        </m:r>
        <m:r>
          <m:t>c</m:t>
        </m:r>
        <m:r>
          <m:t>a</m:t>
        </m:r>
        <m:r>
          <m:t>t</m:t>
        </m:r>
        <m:r>
          <m:t>e</m:t>
        </m:r>
        <m:r>
          <m:t>s</m:t>
        </m:r>
        <m:r>
          <m:t>t</m:t>
        </m:r>
        <m:r>
          <m:t>h</m:t>
        </m:r>
        <m:r>
          <m:t>a</m:t>
        </m:r>
        <m:r>
          <m:t>t</m:t>
        </m:r>
        <m:r>
          <m:t>m</m:t>
        </m:r>
        <m:r>
          <m:t>o</m:t>
        </m:r>
        <m:r>
          <m:t>s</m:t>
        </m:r>
        <m:r>
          <m:t>t</m:t>
        </m:r>
        <m:r>
          <m:t>o</m:t>
        </m:r>
        <m:r>
          <m:t>f</m:t>
        </m:r>
        <m:r>
          <m:t>t</m:t>
        </m:r>
        <m:r>
          <m:t>h</m:t>
        </m:r>
        <m:r>
          <m:t>e</m:t>
        </m:r>
        <m:r>
          <m:t>a</m:t>
        </m:r>
        <m:r>
          <m:t>p</m:t>
        </m:r>
        <m:r>
          <m:t>p</m:t>
        </m:r>
        <m:r>
          <m:t>r</m:t>
        </m:r>
        <m:r>
          <m:t>o</m:t>
        </m:r>
        <m:r>
          <m:t>x</m:t>
        </m:r>
        <m:r>
          <m:t>i</m:t>
        </m:r>
        <m:r>
          <m:t>m</m:t>
        </m:r>
        <m:r>
          <m:t>a</m:t>
        </m:r>
        <m:r>
          <m:t>t</m:t>
        </m:r>
        <m:r>
          <m:t>e</m:t>
        </m:r>
        <m:r>
          <m:t>l</m:t>
        </m:r>
        <m:r>
          <m:t>y</m:t>
        </m:r>
        <m:r>
          <m:rPr>
            <m:sty m:val="p"/>
          </m:rPr>
          <m:t>*</m:t>
        </m:r>
        <m:r>
          <m:rPr>
            <m:sty m:val="p"/>
          </m:rPr>
          <m:t>*</m:t>
        </m:r>
      </m:oMath>
      <w:r>
        <w:t xml:space="preserve">1.2 billion Driver Choice separation charge** should be recognized in Q2. That will create substantial GAAP noise, making adjusted results and cash-flow commentary more useful than reported EPS alone. (</w:t>
      </w:r>
      <w:hyperlink r:id="rId16">
        <w:r>
          <w:rPr>
            <w:rStyle w:val="Hyperlink"/>
          </w:rPr>
          <w:t xml:space="preserve">investors.ups.com</w:t>
        </w:r>
      </w:hyperlink>
      <w:r>
        <w:t xml:space="preserve">)</w:t>
      </w:r>
    </w:p>
    <w:bookmarkEnd w:id="17"/>
    <w:bookmarkEnd w:id="18"/>
    <w:bookmarkStart w:id="19" w:name="Xe02de0aac801dc1641eff2a4495794374e47ecc"/>
    <w:p>
      <w:pPr>
        <w:pStyle w:val="Heading2"/>
      </w:pPr>
      <w:r>
        <w:t xml:space="preserve">Amazon: Volume decline is expected; economics matter more</w:t>
      </w:r>
    </w:p>
    <w:p>
      <w:pPr>
        <w:pStyle w:val="FirstParagraph"/>
      </w:pPr>
      <w:r>
        <w:t xml:space="preserve">UPS aimed to reduce Amazon volume by more than 50% from 2024 levels by June 2026. In Q1 it removed an average of approximately 500,000 Amazon packages per day, and Amazon had declined to 8.8% of consolidated revenue.</w:t>
      </w:r>
    </w:p>
    <w:p>
      <w:pPr>
        <w:pStyle w:val="BodyText"/>
      </w:pPr>
      <w:r>
        <w:t xml:space="preserve">That means Q2 volume is likely to remain weak even if the underlying business is stabilizing. Published forecasts call for a roughly 5% decline in consolidated average daily volume. (</w:t>
      </w:r>
      <w:hyperlink r:id="rId11">
        <w:r>
          <w:rPr>
            <w:rStyle w:val="Hyperlink"/>
          </w:rPr>
          <w:t xml:space="preserve">tradingview.com</w:t>
        </w:r>
      </w:hyperlink>
      <w:r>
        <w:t xml:space="preserve">)</w:t>
      </w:r>
    </w:p>
    <w:p>
      <w:pPr>
        <w:pStyle w:val="BodyText"/>
      </w:pPr>
      <w:r>
        <w:t xml:space="preserve">Investors should therefore focus less on the absolute volume decline and more on:</w:t>
      </w:r>
    </w:p>
    <w:p>
      <w:pPr>
        <w:pStyle w:val="Compact"/>
        <w:numPr>
          <w:ilvl w:val="0"/>
          <w:numId w:val="1006"/>
        </w:numPr>
      </w:pPr>
      <w:r>
        <w:t xml:space="preserve">Whether non-Amazon volume is growing.</w:t>
      </w:r>
    </w:p>
    <w:p>
      <w:pPr>
        <w:pStyle w:val="Compact"/>
        <w:numPr>
          <w:ilvl w:val="0"/>
          <w:numId w:val="1006"/>
        </w:numPr>
      </w:pPr>
      <w:r>
        <w:t xml:space="preserve">Whether SMB volume remains positive.</w:t>
      </w:r>
    </w:p>
    <w:p>
      <w:pPr>
        <w:pStyle w:val="Compact"/>
        <w:numPr>
          <w:ilvl w:val="0"/>
          <w:numId w:val="1006"/>
        </w:numPr>
      </w:pPr>
      <w:r>
        <w:t xml:space="preserve">Whether B2B volume improves after cycling prior revenue-quality actions.</w:t>
      </w:r>
    </w:p>
    <w:p>
      <w:pPr>
        <w:pStyle w:val="Compact"/>
        <w:numPr>
          <w:ilvl w:val="0"/>
          <w:numId w:val="1006"/>
        </w:numPr>
      </w:pPr>
      <w:r>
        <w:t xml:space="preserve">The yield and profitability of the Amazon business that remains.</w:t>
      </w:r>
    </w:p>
    <w:p>
      <w:pPr>
        <w:pStyle w:val="Compact"/>
        <w:numPr>
          <w:ilvl w:val="0"/>
          <w:numId w:val="1006"/>
        </w:numPr>
      </w:pPr>
      <w:r>
        <w:t xml:space="preserve">Whether UPS has removed enough physical and labor capacity to protect margins at the lower volume level.</w:t>
      </w:r>
    </w:p>
    <w:p>
      <w:pPr>
        <w:pStyle w:val="FirstParagraph"/>
      </w:pPr>
      <w:r>
        <w:t xml:space="preserve">A significant decline in packages can be acceptable if revenue is stable and operating profit rises. A simultaneous decline in packages and operating profit would be much harder to defend at this stage of the restructuring.</w:t>
      </w:r>
    </w:p>
    <w:bookmarkEnd w:id="19"/>
    <w:bookmarkStart w:id="20" w:name="ground-saver-and-the-usps"/>
    <w:p>
      <w:pPr>
        <w:pStyle w:val="Heading2"/>
      </w:pPr>
      <w:r>
        <w:t xml:space="preserve">Ground Saver and the USPS</w:t>
      </w:r>
    </w:p>
    <w:p>
      <w:pPr>
        <w:pStyle w:val="FirstParagraph"/>
      </w:pPr>
      <w:r>
        <w:t xml:space="preserve">Q2 is the first fuller quarter following the transition of part of UPS Ground Saver’s last mile to the USPS.</w:t>
      </w:r>
    </w:p>
    <w:p>
      <w:pPr>
        <w:pStyle w:val="BodyText"/>
      </w:pPr>
      <w:r>
        <w:t xml:space="preserve">In Q1, the rollout produced excess staffing and transition costs. UPS expected to tender roughly 1.5 million daily Ground Saver packages to the Postal Service during Q2, up from approximately 977,000 in Q1.</w:t>
      </w:r>
    </w:p>
    <w:p>
      <w:pPr>
        <w:pStyle w:val="BodyText"/>
      </w:pPr>
      <w:r>
        <w:t xml:space="preserve">The strategic case is straightforward: handing off lower-density residential stops should increase the density and productivity of the packages UPS continues to deliver itself. The report should show whether those theoretical savings are appearing after USPS fees and other transition costs.</w:t>
      </w:r>
    </w:p>
    <w:p>
      <w:pPr>
        <w:pStyle w:val="BodyText"/>
      </w:pPr>
      <w:r>
        <w:t xml:space="preserve">Questions for management include:</w:t>
      </w:r>
    </w:p>
    <w:p>
      <w:pPr>
        <w:pStyle w:val="Compact"/>
        <w:numPr>
          <w:ilvl w:val="0"/>
          <w:numId w:val="1007"/>
        </w:numPr>
      </w:pPr>
      <w:r>
        <w:t xml:space="preserve">Is the transition now operating at planned economics?</w:t>
      </w:r>
    </w:p>
    <w:p>
      <w:pPr>
        <w:pStyle w:val="Compact"/>
        <w:numPr>
          <w:ilvl w:val="0"/>
          <w:numId w:val="1007"/>
        </w:numPr>
      </w:pPr>
      <w:r>
        <w:t xml:space="preserve">What percentage of Ground Saver volume is being tendered to USPS?</w:t>
      </w:r>
    </w:p>
    <w:p>
      <w:pPr>
        <w:pStyle w:val="Compact"/>
        <w:numPr>
          <w:ilvl w:val="0"/>
          <w:numId w:val="1007"/>
        </w:numPr>
      </w:pPr>
      <w:r>
        <w:t xml:space="preserve">Are stops per route and packages per stop improving?</w:t>
      </w:r>
    </w:p>
    <w:p>
      <w:pPr>
        <w:pStyle w:val="Compact"/>
        <w:numPr>
          <w:ilvl w:val="0"/>
          <w:numId w:val="1007"/>
        </w:numPr>
      </w:pPr>
      <w:r>
        <w:t xml:space="preserve">Have all excess staffing and dual-processing costs been removed?</w:t>
      </w:r>
    </w:p>
    <w:p>
      <w:pPr>
        <w:pStyle w:val="Compact"/>
        <w:numPr>
          <w:ilvl w:val="0"/>
          <w:numId w:val="1007"/>
        </w:numPr>
      </w:pPr>
      <w:r>
        <w:t xml:space="preserve">How are USPS surcharges affecting the product’s profitability?</w:t>
      </w:r>
    </w:p>
    <w:bookmarkEnd w:id="20"/>
    <w:bookmarkStart w:id="21" w:name="X134d6df91a998ab6c69e0e7a5e7e9b14db1b7bb"/>
    <w:p>
      <w:pPr>
        <w:pStyle w:val="Heading2"/>
      </w:pPr>
      <w:r>
        <w:t xml:space="preserve">International: Revenue quality versus trade disruption</w:t>
      </w:r>
    </w:p>
    <w:p>
      <w:pPr>
        <w:pStyle w:val="FirstParagraph"/>
      </w:pPr>
      <w:r>
        <w:t xml:space="preserve">International was better than feared in Q1:</w:t>
      </w:r>
    </w:p>
    <w:p>
      <w:pPr>
        <w:pStyle w:val="Compact"/>
        <w:numPr>
          <w:ilvl w:val="0"/>
          <w:numId w:val="1008"/>
        </w:numPr>
      </w:pPr>
      <w:r>
        <w:t xml:space="preserve">Revenue increased 3.8%.</w:t>
      </w:r>
    </w:p>
    <w:p>
      <w:pPr>
        <w:pStyle w:val="Compact"/>
        <w:numPr>
          <w:ilvl w:val="0"/>
          <w:numId w:val="1008"/>
        </w:numPr>
      </w:pPr>
      <w:r>
        <w:t xml:space="preserve">Revenue per piece increased 10.7%.</w:t>
      </w:r>
    </w:p>
    <w:p>
      <w:pPr>
        <w:pStyle w:val="Compact"/>
        <w:numPr>
          <w:ilvl w:val="0"/>
          <w:numId w:val="1008"/>
        </w:numPr>
      </w:pPr>
      <w:r>
        <w:t xml:space="preserve">Adjusted margin was 12.1%.</w:t>
      </w:r>
    </w:p>
    <w:p>
      <w:pPr>
        <w:pStyle w:val="FirstParagraph"/>
      </w:pPr>
      <w:r>
        <w:t xml:space="preserve">However, volume remained weak, with average daily volume down 6%. China-to-U.S. volume fell 18.3%, while Europe-to-U.S. volume declined 22.5%. UPS partially offset those declines through pricing, customer mix and growth in trade lanes that do not touch the United States.</w:t>
      </w:r>
    </w:p>
    <w:p>
      <w:pPr>
        <w:pStyle w:val="BodyText"/>
      </w:pPr>
      <w:r>
        <w:t xml:space="preserve">Management’s Q2 margin target of 13%–14% remains below the 15.2% achieved in Q2 2025. The likely headwinds are:</w:t>
      </w:r>
    </w:p>
    <w:p>
      <w:pPr>
        <w:pStyle w:val="Compact"/>
        <w:numPr>
          <w:ilvl w:val="0"/>
          <w:numId w:val="1009"/>
        </w:numPr>
      </w:pPr>
      <w:r>
        <w:t xml:space="preserve">Continued weakness on the highly profitable China-to-U.S. lane.</w:t>
      </w:r>
    </w:p>
    <w:p>
      <w:pPr>
        <w:pStyle w:val="Compact"/>
        <w:numPr>
          <w:ilvl w:val="0"/>
          <w:numId w:val="1009"/>
        </w:numPr>
      </w:pPr>
      <w:r>
        <w:t xml:space="preserve">Changes in de minimis treatment.</w:t>
      </w:r>
    </w:p>
    <w:p>
      <w:pPr>
        <w:pStyle w:val="Compact"/>
        <w:numPr>
          <w:ilvl w:val="0"/>
          <w:numId w:val="1009"/>
        </w:numPr>
      </w:pPr>
      <w:r>
        <w:t xml:space="preserve">Additional flight hours and network complexity related to Middle East airspace.</w:t>
      </w:r>
    </w:p>
    <w:p>
      <w:pPr>
        <w:pStyle w:val="Compact"/>
        <w:numPr>
          <w:ilvl w:val="0"/>
          <w:numId w:val="1009"/>
        </w:numPr>
      </w:pPr>
      <w:r>
        <w:t xml:space="preserve">Volatile global tariff policy.</w:t>
      </w:r>
    </w:p>
    <w:p>
      <w:pPr>
        <w:pStyle w:val="Compact"/>
        <w:numPr>
          <w:ilvl w:val="0"/>
          <w:numId w:val="1009"/>
        </w:numPr>
      </w:pPr>
      <w:r>
        <w:t xml:space="preserve">Higher fuel and charter costs.</w:t>
      </w:r>
    </w:p>
    <w:p>
      <w:pPr>
        <w:pStyle w:val="FirstParagraph"/>
      </w:pPr>
      <w:r>
        <w:t xml:space="preserve">The positive case is that trade shifts rather than disappears, allowing UPS to capture growth in intra-Asia and other international-to-international lanes. But these replacement lanes may not initially carry the same margin as China-to-U.S. traffic.</w:t>
      </w:r>
    </w:p>
    <w:bookmarkEnd w:id="21"/>
    <w:bookmarkStart w:id="22" w:name="supply-chain-solutions-and-healthcare"/>
    <w:p>
      <w:pPr>
        <w:pStyle w:val="Heading2"/>
      </w:pPr>
      <w:r>
        <w:t xml:space="preserve">Supply Chain Solutions and healthcare</w:t>
      </w:r>
    </w:p>
    <w:p>
      <w:pPr>
        <w:pStyle w:val="FirstParagraph"/>
      </w:pPr>
      <w:r>
        <w:t xml:space="preserve">Supply Chain Solutions was Q1’s strongest positive surprise:</w:t>
      </w:r>
    </w:p>
    <w:p>
      <w:pPr>
        <w:pStyle w:val="Compact"/>
        <w:numPr>
          <w:ilvl w:val="0"/>
          <w:numId w:val="1010"/>
        </w:numPr>
      </w:pPr>
      <w:r>
        <w:t xml:space="preserve">Adjusted operating profit more than doubled to $206 million.</w:t>
      </w:r>
    </w:p>
    <w:p>
      <w:pPr>
        <w:pStyle w:val="Compact"/>
        <w:numPr>
          <w:ilvl w:val="0"/>
          <w:numId w:val="1010"/>
        </w:numPr>
      </w:pPr>
      <w:r>
        <w:t xml:space="preserve">Adjusted margin rose to 8.1% from 3.6%.</w:t>
      </w:r>
    </w:p>
    <w:p>
      <w:pPr>
        <w:pStyle w:val="Compact"/>
        <w:numPr>
          <w:ilvl w:val="0"/>
          <w:numId w:val="1010"/>
        </w:numPr>
      </w:pPr>
      <w:r>
        <w:t xml:space="preserve">The segment improved despite a 6.5% revenue decline.</w:t>
      </w:r>
    </w:p>
    <w:p>
      <w:pPr>
        <w:pStyle w:val="FirstParagraph"/>
      </w:pPr>
      <w:r>
        <w:t xml:space="preserve">For Q2, management targeted a 9.5%–10.5% margin, compared with 8.0% a year ago.</w:t>
      </w:r>
    </w:p>
    <w:p>
      <w:pPr>
        <w:pStyle w:val="BodyText"/>
      </w:pPr>
      <w:r>
        <w:t xml:space="preserve">The important drivers are:</w:t>
      </w:r>
    </w:p>
    <w:p>
      <w:pPr>
        <w:pStyle w:val="Compact"/>
        <w:numPr>
          <w:ilvl w:val="0"/>
          <w:numId w:val="1011"/>
        </w:numPr>
      </w:pPr>
      <w:r>
        <w:t xml:space="preserve">Integration and growth from Andlauer Healthcare Group.</w:t>
      </w:r>
    </w:p>
    <w:p>
      <w:pPr>
        <w:pStyle w:val="Compact"/>
        <w:numPr>
          <w:ilvl w:val="0"/>
          <w:numId w:val="1011"/>
        </w:numPr>
      </w:pPr>
      <w:r>
        <w:t xml:space="preserve">Healthcare logistics and temperature-controlled delivery.</w:t>
      </w:r>
    </w:p>
    <w:p>
      <w:pPr>
        <w:pStyle w:val="Compact"/>
        <w:numPr>
          <w:ilvl w:val="0"/>
          <w:numId w:val="1011"/>
        </w:numPr>
      </w:pPr>
      <w:r>
        <w:t xml:space="preserve">Continued restructuring of Mail Innovations.</w:t>
      </w:r>
    </w:p>
    <w:p>
      <w:pPr>
        <w:pStyle w:val="Compact"/>
        <w:numPr>
          <w:ilvl w:val="0"/>
          <w:numId w:val="1011"/>
        </w:numPr>
      </w:pPr>
      <w:r>
        <w:t xml:space="preserve">Growth at Roadie and Happy Returns.</w:t>
      </w:r>
    </w:p>
    <w:p>
      <w:pPr>
        <w:pStyle w:val="Compact"/>
        <w:numPr>
          <w:ilvl w:val="0"/>
          <w:numId w:val="1011"/>
        </w:numPr>
      </w:pPr>
      <w:r>
        <w:t xml:space="preserve">Freight-forwarding rates and volumes.</w:t>
      </w:r>
    </w:p>
    <w:p>
      <w:pPr>
        <w:pStyle w:val="FirstParagraph"/>
      </w:pPr>
      <w:r>
        <w:t xml:space="preserve">UPS generated its first $3 billion healthcare-revenue quarter in Q1. Healthcare is strategically important because it can provide higher margins and greater customer retention than commodity e-commerce delivery.</w:t>
      </w:r>
    </w:p>
    <w:bookmarkEnd w:id="22"/>
    <w:bookmarkStart w:id="25" w:name="Xf3f36618e0505d10dc29d3f459e17fa392d3444"/>
    <w:p>
      <w:pPr>
        <w:pStyle w:val="Heading2"/>
      </w:pPr>
      <w:r>
        <w:t xml:space="preserve">Full-year guidance is the likely stock catalyst</w:t>
      </w:r>
    </w:p>
    <w:p>
      <w:pPr>
        <w:pStyle w:val="FirstParagraph"/>
      </w:pPr>
      <w:r>
        <w:t xml:space="preserve">UPS currently targets:</w:t>
      </w:r>
    </w:p>
    <w:p>
      <w:pPr>
        <w:pStyle w:val="Compact"/>
        <w:numPr>
          <w:ilvl w:val="0"/>
          <w:numId w:val="1012"/>
        </w:numPr>
      </w:pPr>
      <w:r>
        <w:t xml:space="preserve">Revenue of approximately</w:t>
      </w:r>
      <w:r>
        <w:t xml:space="preserve"> </w:t>
      </w:r>
      <w:r>
        <w:rPr>
          <w:b/>
          <w:bCs/>
        </w:rPr>
        <w:t xml:space="preserve">$89.7 billion</w:t>
      </w:r>
      <w:r>
        <w:t xml:space="preserve">.</w:t>
      </w:r>
    </w:p>
    <w:p>
      <w:pPr>
        <w:pStyle w:val="Compact"/>
        <w:numPr>
          <w:ilvl w:val="0"/>
          <w:numId w:val="1012"/>
        </w:numPr>
      </w:pPr>
      <w:r>
        <w:t xml:space="preserve">Adjusted operating margin of approximately</w:t>
      </w:r>
      <w:r>
        <w:t xml:space="preserve"> </w:t>
      </w:r>
      <w:r>
        <w:rPr>
          <w:b/>
          <w:bCs/>
        </w:rPr>
        <w:t xml:space="preserve">9.6%</w:t>
      </w:r>
      <w:r>
        <w:t xml:space="preserve">.</w:t>
      </w:r>
    </w:p>
    <w:p>
      <w:pPr>
        <w:pStyle w:val="Compact"/>
        <w:numPr>
          <w:ilvl w:val="0"/>
          <w:numId w:val="1012"/>
        </w:numPr>
      </w:pPr>
      <w:r>
        <w:t xml:space="preserve">Adjusted EPS roughly flat with 2025.</w:t>
      </w:r>
    </w:p>
    <w:p>
      <w:pPr>
        <w:pStyle w:val="Compact"/>
        <w:numPr>
          <w:ilvl w:val="0"/>
          <w:numId w:val="1012"/>
        </w:numPr>
      </w:pPr>
      <w:r>
        <w:t xml:space="preserve">Free cash flow of approximately</w:t>
      </w:r>
      <w:r>
        <w:t xml:space="preserve"> </w:t>
      </w:r>
      <w:r>
        <w:rPr>
          <w:b/>
          <w:bCs/>
        </w:rPr>
        <w:t xml:space="preserve">$5.5 billion</w:t>
      </w:r>
      <w:r>
        <w:t xml:space="preserve">.</w:t>
      </w:r>
    </w:p>
    <w:p>
      <w:pPr>
        <w:pStyle w:val="Compact"/>
        <w:numPr>
          <w:ilvl w:val="0"/>
          <w:numId w:val="1012"/>
        </w:numPr>
      </w:pPr>
      <w:r>
        <w:t xml:space="preserve">Capital expenditures of approximately</w:t>
      </w:r>
      <w:r>
        <w:t xml:space="preserve"> </w:t>
      </w:r>
      <w:r>
        <w:rPr>
          <w:b/>
          <w:bCs/>
        </w:rPr>
        <w:t xml:space="preserve">$3.0 billion</w:t>
      </w:r>
      <w:r>
        <w:t xml:space="preserve">.</w:t>
      </w:r>
    </w:p>
    <w:p>
      <w:pPr>
        <w:pStyle w:val="Compact"/>
        <w:numPr>
          <w:ilvl w:val="0"/>
          <w:numId w:val="1012"/>
        </w:numPr>
      </w:pPr>
      <w:r>
        <w:t xml:space="preserve">Dividends of around</w:t>
      </w:r>
      <w:r>
        <w:t xml:space="preserve"> </w:t>
      </w:r>
      <w:r>
        <w:rPr>
          <w:b/>
          <w:bCs/>
        </w:rPr>
        <w:t xml:space="preserve">$5.4 billion</w:t>
      </w:r>
      <w:r>
        <w:t xml:space="preserve">, subject to board approval. (</w:t>
      </w:r>
      <w:hyperlink r:id="rId23">
        <w:r>
          <w:rPr>
            <w:rStyle w:val="Hyperlink"/>
          </w:rPr>
          <w:t xml:space="preserve">investors.ups.com</w:t>
        </w:r>
      </w:hyperlink>
      <w:r>
        <w:t xml:space="preserve">)</w:t>
      </w:r>
    </w:p>
    <w:p>
      <w:pPr>
        <w:pStyle w:val="FirstParagraph"/>
      </w:pPr>
      <w:r>
        <w:t xml:space="preserve">Published consensus is somewhat higher on revenue at approximately $90.3 billion, while EPS expectations near $7.10 imply a slight year-over-year decline. (</w:t>
      </w:r>
      <w:hyperlink r:id="rId11">
        <w:r>
          <w:rPr>
            <w:rStyle w:val="Hyperlink"/>
          </w:rPr>
          <w:t xml:space="preserve">tradingview.com</w:t>
        </w:r>
      </w:hyperlink>
      <w:r>
        <w:t xml:space="preserve">)</w:t>
      </w:r>
    </w:p>
    <w:p>
      <w:pPr>
        <w:pStyle w:val="BodyText"/>
      </w:pPr>
      <w:r>
        <w:t xml:space="preserve">UPS did not raise guidance after its Q1 beat because management cited fuel, consumer confidence and geopolitical uncertainty. The bar is higher this time: Amazon’s reduction and much of the network restructuring were supposed to be substantially complete by June.</w:t>
      </w:r>
    </w:p>
    <w:bookmarkStart w:id="24" w:name="guidance-scenarios"/>
    <w:p>
      <w:pPr>
        <w:pStyle w:val="Heading3"/>
      </w:pPr>
      <w:r>
        <w:t xml:space="preserve">Guidance scenarios</w:t>
      </w:r>
    </w:p>
    <w:p>
      <w:pPr>
        <w:pStyle w:val="FirstParagraph"/>
      </w:pPr>
      <w:r>
        <w:rPr>
          <w:b/>
          <w:bCs/>
        </w:rPr>
        <w:t xml:space="preserve">Bullish</w:t>
      </w:r>
    </w:p>
    <w:p>
      <w:pPr>
        <w:pStyle w:val="Compact"/>
        <w:numPr>
          <w:ilvl w:val="0"/>
          <w:numId w:val="1013"/>
        </w:numPr>
      </w:pPr>
      <w:r>
        <w:t xml:space="preserve">Q2 margin at or above the upper half of company ranges.</w:t>
      </w:r>
    </w:p>
    <w:p>
      <w:pPr>
        <w:pStyle w:val="Compact"/>
        <w:numPr>
          <w:ilvl w:val="0"/>
          <w:numId w:val="1013"/>
        </w:numPr>
      </w:pPr>
      <w:r>
        <w:t xml:space="preserve">Full-year revenue and margin guidance raised.</w:t>
      </w:r>
    </w:p>
    <w:p>
      <w:pPr>
        <w:pStyle w:val="Compact"/>
        <w:numPr>
          <w:ilvl w:val="0"/>
          <w:numId w:val="1013"/>
        </w:numPr>
      </w:pPr>
      <w:r>
        <w:t xml:space="preserve">$3 billion cost target reaffirmed with savings running ahead of schedule.</w:t>
      </w:r>
    </w:p>
    <w:p>
      <w:pPr>
        <w:pStyle w:val="Compact"/>
        <w:numPr>
          <w:ilvl w:val="0"/>
          <w:numId w:val="1013"/>
        </w:numPr>
      </w:pPr>
      <w:r>
        <w:t xml:space="preserve">Clear expectation for positive revenue-per-piece/cost-per-piece spread in H2.</w:t>
      </w:r>
    </w:p>
    <w:p>
      <w:pPr>
        <w:pStyle w:val="Compact"/>
        <w:numPr>
          <w:ilvl w:val="0"/>
          <w:numId w:val="1013"/>
        </w:numPr>
      </w:pPr>
      <w:r>
        <w:t xml:space="preserve">Management reinforces that 2027 U.S. margins should be meaningfully better.</w:t>
      </w:r>
    </w:p>
    <w:p>
      <w:pPr>
        <w:pStyle w:val="FirstParagraph"/>
      </w:pPr>
      <w:r>
        <w:rPr>
          <w:b/>
          <w:bCs/>
        </w:rPr>
        <w:t xml:space="preserve">Acceptable/base case</w:t>
      </w:r>
    </w:p>
    <w:p>
      <w:pPr>
        <w:pStyle w:val="Compact"/>
        <w:numPr>
          <w:ilvl w:val="0"/>
          <w:numId w:val="1014"/>
        </w:numPr>
      </w:pPr>
      <w:r>
        <w:t xml:space="preserve">EPS and revenue near consensus.</w:t>
      </w:r>
    </w:p>
    <w:p>
      <w:pPr>
        <w:pStyle w:val="Compact"/>
        <w:numPr>
          <w:ilvl w:val="0"/>
          <w:numId w:val="1014"/>
        </w:numPr>
      </w:pPr>
      <w:r>
        <w:t xml:space="preserve">U.S. Domestic margin around 8%.</w:t>
      </w:r>
    </w:p>
    <w:p>
      <w:pPr>
        <w:pStyle w:val="Compact"/>
        <w:numPr>
          <w:ilvl w:val="0"/>
          <w:numId w:val="1014"/>
        </w:numPr>
      </w:pPr>
      <w:r>
        <w:t xml:space="preserve">Existing full-year guidance reaffirmed.</w:t>
      </w:r>
    </w:p>
    <w:p>
      <w:pPr>
        <w:pStyle w:val="Compact"/>
        <w:numPr>
          <w:ilvl w:val="0"/>
          <w:numId w:val="1014"/>
        </w:numPr>
      </w:pPr>
      <w:r>
        <w:t xml:space="preserve">No new demand deterioration.</w:t>
      </w:r>
    </w:p>
    <w:p>
      <w:pPr>
        <w:pStyle w:val="Compact"/>
        <w:numPr>
          <w:ilvl w:val="0"/>
          <w:numId w:val="1014"/>
        </w:numPr>
      </w:pPr>
      <w:r>
        <w:t xml:space="preserve">Cost savings and facility closures remain on schedule.</w:t>
      </w:r>
    </w:p>
    <w:p>
      <w:pPr>
        <w:pStyle w:val="FirstParagraph"/>
      </w:pPr>
      <w:r>
        <w:rPr>
          <w:b/>
          <w:bCs/>
        </w:rPr>
        <w:t xml:space="preserve">Bearish</w:t>
      </w:r>
    </w:p>
    <w:p>
      <w:pPr>
        <w:pStyle w:val="Compact"/>
        <w:numPr>
          <w:ilvl w:val="0"/>
          <w:numId w:val="1015"/>
        </w:numPr>
      </w:pPr>
      <w:r>
        <w:t xml:space="preserve">U.S. Domestic margin below 7.5%.</w:t>
      </w:r>
    </w:p>
    <w:p>
      <w:pPr>
        <w:pStyle w:val="Compact"/>
        <w:numPr>
          <w:ilvl w:val="0"/>
          <w:numId w:val="1015"/>
        </w:numPr>
      </w:pPr>
      <w:r>
        <w:t xml:space="preserve">Cost per piece remains elevated despite the workforce reduction.</w:t>
      </w:r>
    </w:p>
    <w:p>
      <w:pPr>
        <w:pStyle w:val="Compact"/>
        <w:numPr>
          <w:ilvl w:val="0"/>
          <w:numId w:val="1015"/>
        </w:numPr>
      </w:pPr>
      <w:r>
        <w:t xml:space="preserve">Full-year margin or free-cash-flow guidance is cut.</w:t>
      </w:r>
    </w:p>
    <w:p>
      <w:pPr>
        <w:pStyle w:val="Compact"/>
        <w:numPr>
          <w:ilvl w:val="0"/>
          <w:numId w:val="1015"/>
        </w:numPr>
      </w:pPr>
      <w:r>
        <w:t xml:space="preserve">Non-Amazon volume fails to grow.</w:t>
      </w:r>
    </w:p>
    <w:p>
      <w:pPr>
        <w:pStyle w:val="Compact"/>
        <w:numPr>
          <w:ilvl w:val="0"/>
          <w:numId w:val="1015"/>
        </w:numPr>
      </w:pPr>
      <w:r>
        <w:t xml:space="preserve">International margin deteriorates further because of trade-lane and air-network costs.</w:t>
      </w:r>
    </w:p>
    <w:p>
      <w:pPr>
        <w:pStyle w:val="Compact"/>
        <w:numPr>
          <w:ilvl w:val="0"/>
          <w:numId w:val="1015"/>
        </w:numPr>
      </w:pPr>
      <w:r>
        <w:t xml:space="preserve">Management delays the expected second-half inflection.</w:t>
      </w:r>
    </w:p>
    <w:bookmarkEnd w:id="24"/>
    <w:bookmarkEnd w:id="25"/>
    <w:bookmarkStart w:id="26" w:name="capital-returns-and-dividend-coverage"/>
    <w:p>
      <w:pPr>
        <w:pStyle w:val="Heading2"/>
      </w:pPr>
      <w:r>
        <w:t xml:space="preserve">Capital returns and dividend coverage</w:t>
      </w:r>
    </w:p>
    <w:p>
      <w:pPr>
        <w:pStyle w:val="FirstParagraph"/>
      </w:pPr>
      <w:r>
        <w:t xml:space="preserve">UPS’s dividend remains an important part of the investment case, but the planned</w:t>
      </w:r>
      <w:r>
        <w:t xml:space="preserve"> </w:t>
      </w:r>
      <m:oMath>
        <m:r>
          <m:t>5.4</m:t>
        </m:r>
        <m:r>
          <m:t>b</m:t>
        </m:r>
        <m:r>
          <m:t>i</m:t>
        </m:r>
        <m:r>
          <m:t>l</m:t>
        </m:r>
        <m:r>
          <m:t>l</m:t>
        </m:r>
        <m:r>
          <m:t>i</m:t>
        </m:r>
        <m:r>
          <m:t>o</m:t>
        </m:r>
        <m:r>
          <m:t>n</m:t>
        </m:r>
        <m:r>
          <m:rPr>
            <m:sty m:val="p"/>
          </m:rPr>
          <m:t>*</m:t>
        </m:r>
        <m:r>
          <m:rPr>
            <m:sty m:val="p"/>
          </m:rPr>
          <m:t>*</m:t>
        </m:r>
        <m:r>
          <m:t>a</m:t>
        </m:r>
        <m:r>
          <m:t>n</m:t>
        </m:r>
        <m:r>
          <m:t>n</m:t>
        </m:r>
        <m:r>
          <m:t>u</m:t>
        </m:r>
        <m:r>
          <m:t>a</m:t>
        </m:r>
        <m:r>
          <m:t>l</m:t>
        </m:r>
        <m:r>
          <m:t>p</m:t>
        </m:r>
        <m:r>
          <m:t>a</m:t>
        </m:r>
        <m:r>
          <m:t>y</m:t>
        </m:r>
        <m:r>
          <m:t>o</m:t>
        </m:r>
        <m:r>
          <m:t>u</m:t>
        </m:r>
        <m:r>
          <m:t>t</m:t>
        </m:r>
        <m:r>
          <m:t>i</m:t>
        </m:r>
        <m:r>
          <m:t>s</m:t>
        </m:r>
        <m:r>
          <m:t>c</m:t>
        </m:r>
        <m:r>
          <m:t>l</m:t>
        </m:r>
        <m:r>
          <m:t>o</m:t>
        </m:r>
        <m:r>
          <m:t>s</m:t>
        </m:r>
        <m:r>
          <m:t>e</m:t>
        </m:r>
        <m:r>
          <m:t>t</m:t>
        </m:r>
        <m:r>
          <m:t>o</m:t>
        </m:r>
        <m:r>
          <m:t>t</m:t>
        </m:r>
        <m:r>
          <m:t>h</m:t>
        </m:r>
        <m:r>
          <m:t>e</m:t>
        </m:r>
        <m:r>
          <m:t>c</m:t>
        </m:r>
        <m:r>
          <m:t>o</m:t>
        </m:r>
        <m:r>
          <m:t>m</m:t>
        </m:r>
        <m:r>
          <m:t>p</m:t>
        </m:r>
        <m:r>
          <m:t>a</m:t>
        </m:r>
        <m:r>
          <m:t>n</m:t>
        </m:r>
        <m:r>
          <m:t>y</m:t>
        </m:r>
        <m:r>
          <m:rPr>
            <m:sty m:val="p"/>
          </m:rPr>
          <m:t>’</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5.5 billion</w:t>
      </w:r>
      <w:r>
        <w:t xml:space="preserve"> </w:t>
      </w:r>
      <w:r>
        <w:t xml:space="preserve">free-cash-flow target. That leaves limited room for execution misses, acquisitions or material debt reduction.</w:t>
      </w:r>
    </w:p>
    <w:p>
      <w:pPr>
        <w:pStyle w:val="BodyText"/>
      </w:pPr>
      <w:r>
        <w:t xml:space="preserve">Q2 cash flow will be distorted by Driver Choice payments and the annual pension contribution. Investors should look for:</w:t>
      </w:r>
    </w:p>
    <w:p>
      <w:pPr>
        <w:pStyle w:val="Compact"/>
        <w:numPr>
          <w:ilvl w:val="0"/>
          <w:numId w:val="1016"/>
        </w:numPr>
      </w:pPr>
      <w:r>
        <w:t xml:space="preserve">Confirmation of the $5.5 billion free-cash-flow target.</w:t>
      </w:r>
    </w:p>
    <w:p>
      <w:pPr>
        <w:pStyle w:val="Compact"/>
        <w:numPr>
          <w:ilvl w:val="0"/>
          <w:numId w:val="1016"/>
        </w:numPr>
      </w:pPr>
      <w:r>
        <w:t xml:space="preserve">The timing of separation payments.</w:t>
      </w:r>
    </w:p>
    <w:p>
      <w:pPr>
        <w:pStyle w:val="Compact"/>
        <w:numPr>
          <w:ilvl w:val="0"/>
          <w:numId w:val="1016"/>
        </w:numPr>
      </w:pPr>
      <w:r>
        <w:t xml:space="preserve">Working-capital trends.</w:t>
      </w:r>
    </w:p>
    <w:p>
      <w:pPr>
        <w:pStyle w:val="Compact"/>
        <w:numPr>
          <w:ilvl w:val="0"/>
          <w:numId w:val="1016"/>
        </w:numPr>
      </w:pPr>
      <w:r>
        <w:t xml:space="preserve">Whether management expects dividend coverage to improve in 2027.</w:t>
      </w:r>
    </w:p>
    <w:p>
      <w:pPr>
        <w:pStyle w:val="Compact"/>
        <w:numPr>
          <w:ilvl w:val="0"/>
          <w:numId w:val="1016"/>
        </w:numPr>
      </w:pPr>
      <w:r>
        <w:t xml:space="preserve">Any indication that share repurchases will remain secondary to the dividend and balance sheet.</w:t>
      </w:r>
    </w:p>
    <w:bookmarkEnd w:id="26"/>
    <w:bookmarkStart w:id="27" w:name="stock-setup"/>
    <w:p>
      <w:pPr>
        <w:pStyle w:val="Heading2"/>
      </w:pPr>
      <w:r>
        <w:t xml:space="preserve">Stock setup</w:t>
      </w:r>
    </w:p>
    <w:p>
      <w:pPr>
        <w:pStyle w:val="FirstParagraph"/>
      </w:pPr>
      <w:r>
        <w:t xml:space="preserve">UPS closed July 27 at approximately</w:t>
      </w:r>
      <w:r>
        <w:t xml:space="preserve"> </w:t>
      </w:r>
      <w:r>
        <w:rPr>
          <w:b/>
          <w:bCs/>
        </w:rPr>
        <w:t xml:space="preserve">$112.98</w:t>
      </w:r>
      <w:r>
        <w:t xml:space="preserve">, up about</w:t>
      </w:r>
      <w:r>
        <w:t xml:space="preserve"> </w:t>
      </w:r>
      <w:r>
        <w:rPr>
          <w:b/>
          <w:bCs/>
        </w:rPr>
        <w:t xml:space="preserve">12% year to date</w:t>
      </w:r>
      <w:r>
        <w:t xml:space="preserve"> </w:t>
      </w:r>
      <w:r>
        <w:t xml:space="preserve">and roughly</w:t>
      </w:r>
      <w:r>
        <w:t xml:space="preserve"> </w:t>
      </w:r>
      <w:r>
        <w:rPr>
          <w:b/>
          <w:bCs/>
        </w:rPr>
        <w:t xml:space="preserve">19% above its late-March low</w:t>
      </w:r>
      <w:r>
        <w:t xml:space="preserve">. Some turnaround progress is therefore reflected in the price, although the shares remain dependent on proof that operating profit can grow despite lower package volume.</w:t>
      </w:r>
    </w:p>
    <w:p>
      <w:pPr>
        <w:pStyle w:val="BodyText"/>
      </w:pPr>
      <w:r>
        <w:t xml:space="preserve">That creates an asymmetric earnings setup:</w:t>
      </w:r>
    </w:p>
    <w:p>
      <w:pPr>
        <w:pStyle w:val="Compact"/>
        <w:numPr>
          <w:ilvl w:val="0"/>
          <w:numId w:val="1017"/>
        </w:numPr>
      </w:pPr>
      <w:r>
        <w:t xml:space="preserve">A small headline beat without strong margin and guidance commentary may not be enough.</w:t>
      </w:r>
    </w:p>
    <w:p>
      <w:pPr>
        <w:pStyle w:val="Compact"/>
        <w:numPr>
          <w:ilvl w:val="0"/>
          <w:numId w:val="1017"/>
        </w:numPr>
      </w:pPr>
      <w:r>
        <w:t xml:space="preserve">A clean U.S. Domestic margin result and credible second-half cost outlook could reinforce the turnaround thesis.</w:t>
      </w:r>
    </w:p>
    <w:p>
      <w:pPr>
        <w:pStyle w:val="Compact"/>
        <w:numPr>
          <w:ilvl w:val="0"/>
          <w:numId w:val="1017"/>
        </w:numPr>
      </w:pPr>
      <w:r>
        <w:t xml:space="preserve">A margin miss would directly challenge the idea that Q1’s cost pressures were temporary.</w:t>
      </w:r>
    </w:p>
    <w:bookmarkEnd w:id="27"/>
    <w:bookmarkStart w:id="28" w:name="bottom-line"/>
    <w:p>
      <w:pPr>
        <w:pStyle w:val="Heading2"/>
      </w:pPr>
      <w:r>
        <w:t xml:space="preserve">Bottom line</w:t>
      </w:r>
    </w:p>
    <w:p>
      <w:pPr>
        <w:pStyle w:val="FirstParagraph"/>
      </w:pPr>
      <w:r>
        <w:t xml:space="preserve">The most important number is not EPS—it is</w:t>
      </w:r>
      <w:r>
        <w:t xml:space="preserve"> </w:t>
      </w:r>
      <w:r>
        <w:rPr>
          <w:b/>
          <w:bCs/>
        </w:rPr>
        <w:t xml:space="preserve">U.S. Domestic adjusted operating margin</w:t>
      </w:r>
      <w:r>
        <w:t xml:space="preserve">.</w:t>
      </w:r>
    </w:p>
    <w:p>
      <w:pPr>
        <w:pStyle w:val="BodyText"/>
      </w:pPr>
      <w:r>
        <w:t xml:space="preserve">UPS has already accepted the revenue and volume cost of shrinking Amazon and low-quality e-commerce exposure. Q2 must demonstrate the corresponding benefit: a smaller but more profitable network, improving package economics and a credible path to stronger margins in the second half and 2027.</w:t>
      </w:r>
    </w:p>
    <w:p>
      <w:pPr>
        <w:pStyle w:val="BodyText"/>
      </w:pPr>
      <w:r>
        <w:t xml:space="preserve">A result around consensus, with U.S. Domestic margin near 8% and full-year guidance maintained, would constitute reasonable execution. The upside case requires evidence that savings are arriving faster than planned. The key downside risk is that costs remain sticky after the volume has already left the network.</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investors.ups.com/_assets/_7e9fd48633fab5bc4422dbfb02c6bea7/ups/news/2026-04-28_UPS_Releases_1Q_2026_2158.pdf?utm_source=openai" TargetMode="External" /><Relationship Type="http://schemas.openxmlformats.org/officeDocument/2006/relationships/hyperlink" Id="rId23" Target="https://investors.ups.com/_assets/_910000fef2c0420e6cb0125927f99256/ups/news/2026-04-28_UPS_Releases_1Q_2026_2158.pdf?utm_source=openai" TargetMode="External" /><Relationship Type="http://schemas.openxmlformats.org/officeDocument/2006/relationships/hyperlink" Id="rId9" Target="https://investors.ups.com/news-events/press-releases/detail/2163/ups-to-release-second-quarter-2026-results-on-tuesday-july?utm_source=openai" TargetMode="External" /><Relationship Type="http://schemas.openxmlformats.org/officeDocument/2006/relationships/hyperlink" Id="rId16" Target="https://investors.ups.com/sec-filings/all-sec-filings/content/0001628280-26-031154/ups-20260331.htm?utm_source=openai" TargetMode="External" /><Relationship Type="http://schemas.openxmlformats.org/officeDocument/2006/relationships/hyperlink" Id="rId11" Target="https://www.tradingview.com/news/zacks%3A5b1c0f893094b%3A0-ups-gears-up-to-report-q2-earnings-what-s-in-store-for-the-stock/" TargetMode="External" /></Relationships>
</file>

<file path=word/_rels/footnotes.xml.rels><?xml version="1.0" encoding="UTF-8"?><Relationships xmlns="http://schemas.openxmlformats.org/package/2006/relationships"><Relationship Type="http://schemas.openxmlformats.org/officeDocument/2006/relationships/hyperlink" Id="rId13" Target="https://investors.ups.com/_assets/_7e9fd48633fab5bc4422dbfb02c6bea7/ups/news/2026-04-28_UPS_Releases_1Q_2026_2158.pdf?utm_source=openai" TargetMode="External" /><Relationship Type="http://schemas.openxmlformats.org/officeDocument/2006/relationships/hyperlink" Id="rId23" Target="https://investors.ups.com/_assets/_910000fef2c0420e6cb0125927f99256/ups/news/2026-04-28_UPS_Releases_1Q_2026_2158.pdf?utm_source=openai" TargetMode="External" /><Relationship Type="http://schemas.openxmlformats.org/officeDocument/2006/relationships/hyperlink" Id="rId9" Target="https://investors.ups.com/news-events/press-releases/detail/2163/ups-to-release-second-quarter-2026-results-on-tuesday-july?utm_source=openai" TargetMode="External" /><Relationship Type="http://schemas.openxmlformats.org/officeDocument/2006/relationships/hyperlink" Id="rId16" Target="https://investors.ups.com/sec-filings/all-sec-filings/content/0001628280-26-031154/ups-20260331.htm?utm_source=openai" TargetMode="External" /><Relationship Type="http://schemas.openxmlformats.org/officeDocument/2006/relationships/hyperlink" Id="rId11" Target="https://www.tradingview.com/news/zacks%3A5b1c0f893094b%3A0-ups-gears-up-to-report-q2-earnings-what-s-in-store-for-the-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2026-07-28T00:20:26Z</dcterms:created>
  <dcterms:modified xsi:type="dcterms:W3CDTF">2026-07-28T00:20:26Z</dcterms:modified>
</cp:coreProperties>
</file>

<file path=docProps/custom.xml><?xml version="1.0" encoding="utf-8"?>
<Properties xmlns="http://schemas.openxmlformats.org/officeDocument/2006/custom-properties" xmlns:vt="http://schemas.openxmlformats.org/officeDocument/2006/docPropsVTypes"/>
</file>