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ups-2q26-earnings-preview"/>
    <w:p>
      <w:pPr>
        <w:pStyle w:val="Heading1"/>
      </w:pPr>
      <w:r>
        <w:t xml:space="preserve">UPS 2Q26 Earnings Preview</w:t>
      </w:r>
    </w:p>
    <w:p>
      <w:pPr>
        <w:pStyle w:val="BlockText"/>
      </w:pPr>
      <w:r>
        <w:rPr>
          <w:b/>
          <w:bCs/>
        </w:rPr>
        <w:t xml:space="preserve">Calendar note:</w:t>
      </w:r>
      <w:r>
        <w:t xml:space="preserve"> </w:t>
      </w:r>
      <w:r>
        <w:t xml:space="preserve">UPS is scheduled to report</w:t>
      </w:r>
      <w:r>
        <w:t xml:space="preserve"> </w:t>
      </w:r>
      <w:r>
        <w:rPr>
          <w:b/>
          <w:bCs/>
        </w:rPr>
        <w:t xml:space="preserve">before the U.S. market opens on Tuesday, July 28, 2026</w:t>
      </w:r>
      <w:r>
        <w:t xml:space="preserve">—which is</w:t>
      </w:r>
      <w:r>
        <w:t xml:space="preserve"> </w:t>
      </w:r>
      <w:r>
        <w:rPr>
          <w:b/>
          <w:bCs/>
        </w:rPr>
        <w:t xml:space="preserve">today</w:t>
      </w:r>
      <w:r>
        <w:t xml:space="preserve">, not tomorrow. The earnings call is expected at</w:t>
      </w:r>
      <w:r>
        <w:t xml:space="preserve"> </w:t>
      </w:r>
      <w:r>
        <w:rPr>
          <w:b/>
          <w:bCs/>
        </w:rPr>
        <w:t xml:space="preserve">8:30 a.m. ET</w:t>
      </w:r>
      <w:r>
        <w:t xml:space="preserve">.</w:t>
      </w:r>
    </w:p>
    <w:bookmarkStart w:id="9" w:name="Xc0ca56a7ba111a8413a732b977e950e48f2efa4"/>
    <w:p>
      <w:pPr>
        <w:pStyle w:val="Heading2"/>
      </w:pPr>
      <w:r>
        <w:t xml:space="preserve">Investment framing: this is the “proof of inflection” quarter</w:t>
      </w:r>
    </w:p>
    <w:p>
      <w:pPr>
        <w:pStyle w:val="FirstParagraph"/>
      </w:pPr>
      <w:r>
        <w:t xml:space="preserve">UPS enters 2Q26 at the most important point in its multi-quarter transformation. Management has deliberately reduced lower-return package volume—most notably Amazon and certain e-commerce flows—while restructuring the U.S. network, outsourcing part of Ground Saver’s last mile to USPS, reducing headcount, closing facilities, and shifting its mix toward SMB, B2B, healthcare, and other premium shipments.</w:t>
      </w:r>
    </w:p>
    <w:p>
      <w:pPr>
        <w:pStyle w:val="BodyText"/>
      </w:pPr>
      <w:r>
        <w:t xml:space="preserve">The core question is no longer whether UPS can take costs out. It is whether the company can demonstrate that:</w:t>
      </w:r>
    </w:p>
    <w:p>
      <w:pPr>
        <w:pStyle w:val="Compact"/>
        <w:numPr>
          <w:ilvl w:val="0"/>
          <w:numId w:val="1001"/>
        </w:numPr>
      </w:pPr>
      <w:r>
        <w:rPr>
          <w:b/>
          <w:bCs/>
        </w:rPr>
        <w:t xml:space="preserve">The temporary 1Q cost burden is genuinely behind it;</w:t>
      </w:r>
    </w:p>
    <w:p>
      <w:pPr>
        <w:pStyle w:val="Compact"/>
        <w:numPr>
          <w:ilvl w:val="0"/>
          <w:numId w:val="1001"/>
        </w:numPr>
      </w:pPr>
      <w:r>
        <w:rPr>
          <w:b/>
          <w:bCs/>
        </w:rPr>
        <w:t xml:space="preserve">U.S. Domestic margins are beginning a durable recovery;</w:t>
      </w:r>
    </w:p>
    <w:p>
      <w:pPr>
        <w:pStyle w:val="Compact"/>
        <w:numPr>
          <w:ilvl w:val="0"/>
          <w:numId w:val="1001"/>
        </w:numPr>
      </w:pPr>
      <w:r>
        <w:rPr>
          <w:b/>
          <w:bCs/>
        </w:rPr>
        <w:t xml:space="preserve">Lower Amazon exposure is being replaced by better-quality volume rather than simply shrinking the network;</w:t>
      </w:r>
      <w:r>
        <w:t xml:space="preserve"> </w:t>
      </w:r>
      <w:r>
        <w:t xml:space="preserve">and</w:t>
      </w:r>
    </w:p>
    <w:p>
      <w:pPr>
        <w:pStyle w:val="Compact"/>
        <w:numPr>
          <w:ilvl w:val="0"/>
          <w:numId w:val="1001"/>
        </w:numPr>
      </w:pPr>
      <w:r>
        <w:rPr>
          <w:b/>
          <w:bCs/>
        </w:rPr>
        <w:t xml:space="preserve">Full-year guidance can be maintained despite volatile fuel, consumer, trade, and international-demand conditions.</w:t>
      </w:r>
    </w:p>
    <w:p>
      <w:pPr>
        <w:pStyle w:val="FirstParagraph"/>
      </w:pPr>
      <w:r>
        <w:t xml:space="preserve">Management explicitly characterized 2026 as an inflection year, with the back half expected to look “considerably different” from the first half. That makes the reported 2Q result and, more importantly, commentary on July trends and the second half unusually consequential.</w:t>
      </w:r>
    </w:p>
    <w:p>
      <w:r>
        <w:pict>
          <v:rect style="width:0;height:1.5pt" o:hralign="center" o:hrstd="t" o:hr="t"/>
        </w:pict>
      </w:r>
    </w:p>
    <w:bookmarkEnd w:id="9"/>
    <w:bookmarkStart w:id="10" w:name="what-ups-has-guided-to-for-2q26"/>
    <w:p>
      <w:pPr>
        <w:pStyle w:val="Heading2"/>
      </w:pPr>
      <w:r>
        <w:t xml:space="preserve">What UPS has guided to for 2Q26</w:t>
      </w:r>
    </w:p>
    <w:p>
      <w:pPr>
        <w:pStyle w:val="FirstParagraph"/>
      </w:pPr>
      <w:r>
        <w:t xml:space="preserve">UPS did not provide EPS guidance for the quarter. The relevant scorecard is revenue, segment margins, cost-per-piece progression, and confirmation of the full-year outlook.</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2Q26 company outlook</w:t>
            </w:r>
          </w:p>
        </w:tc>
        <w:tc>
          <w:tcPr/>
          <w:p>
            <w:pPr>
              <w:pStyle w:val="Compact"/>
              <w:jc w:val="right"/>
            </w:pPr>
            <w:r>
              <w:t xml:space="preserve">2Q25 actual comparison</w:t>
            </w:r>
          </w:p>
        </w:tc>
      </w:tr>
      <w:tr>
        <w:tc>
          <w:tcPr/>
          <w:p>
            <w:pPr>
              <w:pStyle w:val="Compact"/>
            </w:pPr>
            <w:r>
              <w:t xml:space="preserve">Consolidated revenue</w:t>
            </w:r>
          </w:p>
        </w:tc>
        <w:tc>
          <w:tcPr/>
          <w:p>
            <w:pPr>
              <w:pStyle w:val="Compact"/>
              <w:jc w:val="right"/>
            </w:pPr>
            <w:r>
              <w:rPr>
                <w:b/>
                <w:bCs/>
              </w:rPr>
              <w:t xml:space="preserve">Up low single digits YoY</w:t>
            </w:r>
          </w:p>
        </w:tc>
        <w:tc>
          <w:tcPr/>
          <w:p>
            <w:pPr>
              <w:pStyle w:val="Compact"/>
              <w:jc w:val="right"/>
            </w:pPr>
            <w:r>
              <w:t xml:space="preserve">$21.2B</w:t>
            </w:r>
          </w:p>
        </w:tc>
      </w:tr>
      <w:tr>
        <w:tc>
          <w:tcPr/>
          <w:p>
            <w:pPr>
              <w:pStyle w:val="Compact"/>
            </w:pPr>
            <w:r>
              <w:t xml:space="preserve">U.S. Domestic revenue</w:t>
            </w:r>
          </w:p>
        </w:tc>
        <w:tc>
          <w:tcPr/>
          <w:p>
            <w:pPr>
              <w:pStyle w:val="Compact"/>
              <w:jc w:val="right"/>
            </w:pPr>
            <w:r>
              <w:rPr>
                <w:b/>
                <w:bCs/>
              </w:rPr>
              <w:t xml:space="preserve">Up low single digits YoY</w:t>
            </w:r>
          </w:p>
        </w:tc>
        <w:tc>
          <w:tcPr/>
          <w:p>
            <w:pPr>
              <w:pStyle w:val="Compact"/>
              <w:jc w:val="right"/>
            </w:pPr>
            <w:r>
              <w:t xml:space="preserve">$14.1B</w:t>
            </w:r>
          </w:p>
        </w:tc>
      </w:tr>
      <w:tr>
        <w:tc>
          <w:tcPr/>
          <w:p>
            <w:pPr>
              <w:pStyle w:val="Compact"/>
            </w:pPr>
            <w:r>
              <w:t xml:space="preserve">U.S. Domestic operating margin</w:t>
            </w:r>
          </w:p>
        </w:tc>
        <w:tc>
          <w:tcPr/>
          <w:p>
            <w:pPr>
              <w:pStyle w:val="Compact"/>
              <w:jc w:val="right"/>
            </w:pPr>
            <w:r>
              <w:rPr>
                <w:b/>
                <w:bCs/>
              </w:rPr>
              <w:t xml:space="preserve">7.5%–8.5%</w:t>
            </w:r>
          </w:p>
        </w:tc>
        <w:tc>
          <w:tcPr/>
          <w:p>
            <w:pPr>
              <w:pStyle w:val="Compact"/>
              <w:jc w:val="right"/>
            </w:pPr>
            <w:r>
              <w:t xml:space="preserve">7.0% adjusted</w:t>
            </w:r>
          </w:p>
        </w:tc>
      </w:tr>
      <w:tr>
        <w:tc>
          <w:tcPr/>
          <w:p>
            <w:pPr>
              <w:pStyle w:val="Compact"/>
            </w:pPr>
            <w:r>
              <w:t xml:space="preserve">International revenue</w:t>
            </w:r>
          </w:p>
        </w:tc>
        <w:tc>
          <w:tcPr/>
          <w:p>
            <w:pPr>
              <w:pStyle w:val="Compact"/>
              <w:jc w:val="right"/>
            </w:pPr>
            <w:r>
              <w:rPr>
                <w:b/>
                <w:bCs/>
              </w:rPr>
              <w:t xml:space="preserve">Up low single digits YoY</w:t>
            </w:r>
          </w:p>
        </w:tc>
        <w:tc>
          <w:tcPr/>
          <w:p>
            <w:pPr>
              <w:pStyle w:val="Compact"/>
              <w:jc w:val="right"/>
            </w:pPr>
            <w:r>
              <w:t xml:space="preserve">$4.5B</w:t>
            </w:r>
          </w:p>
        </w:tc>
      </w:tr>
      <w:tr>
        <w:tc>
          <w:tcPr/>
          <w:p>
            <w:pPr>
              <w:pStyle w:val="Compact"/>
            </w:pPr>
            <w:r>
              <w:t xml:space="preserve">International operating margin</w:t>
            </w:r>
          </w:p>
        </w:tc>
        <w:tc>
          <w:tcPr/>
          <w:p>
            <w:pPr>
              <w:pStyle w:val="Compact"/>
              <w:jc w:val="right"/>
            </w:pPr>
            <w:r>
              <w:rPr>
                <w:b/>
                <w:bCs/>
              </w:rPr>
              <w:t xml:space="preserve">13.0%–14.0%</w:t>
            </w:r>
          </w:p>
        </w:tc>
        <w:tc>
          <w:tcPr/>
          <w:p>
            <w:pPr>
              <w:pStyle w:val="Compact"/>
              <w:jc w:val="right"/>
            </w:pPr>
            <w:r>
              <w:t xml:space="preserve">15.2% adjusted</w:t>
            </w:r>
          </w:p>
        </w:tc>
      </w:tr>
      <w:tr>
        <w:tc>
          <w:tcPr/>
          <w:p>
            <w:pPr>
              <w:pStyle w:val="Compact"/>
            </w:pPr>
            <w:r>
              <w:t xml:space="preserve">Supply Chain Solutions revenue</w:t>
            </w:r>
          </w:p>
        </w:tc>
        <w:tc>
          <w:tcPr/>
          <w:p>
            <w:pPr>
              <w:pStyle w:val="Compact"/>
              <w:jc w:val="right"/>
            </w:pPr>
            <w:r>
              <w:rPr>
                <w:b/>
                <w:bCs/>
              </w:rPr>
              <w:t xml:space="preserve">Up low single digits YoY</w:t>
            </w:r>
          </w:p>
        </w:tc>
        <w:tc>
          <w:tcPr/>
          <w:p>
            <w:pPr>
              <w:pStyle w:val="Compact"/>
              <w:jc w:val="right"/>
            </w:pPr>
            <w:r>
              <w:t xml:space="preserve">$2.7B</w:t>
            </w:r>
          </w:p>
        </w:tc>
      </w:tr>
      <w:tr>
        <w:tc>
          <w:tcPr/>
          <w:p>
            <w:pPr>
              <w:pStyle w:val="Compact"/>
            </w:pPr>
            <w:r>
              <w:t xml:space="preserve">Supply Chain Solutions operating margin</w:t>
            </w:r>
          </w:p>
        </w:tc>
        <w:tc>
          <w:tcPr/>
          <w:p>
            <w:pPr>
              <w:pStyle w:val="Compact"/>
              <w:jc w:val="right"/>
            </w:pPr>
            <w:r>
              <w:rPr>
                <w:b/>
                <w:bCs/>
              </w:rPr>
              <w:t xml:space="preserve">9.5%–10.5%</w:t>
            </w:r>
          </w:p>
        </w:tc>
        <w:tc>
          <w:tcPr/>
          <w:p>
            <w:pPr>
              <w:pStyle w:val="Compact"/>
              <w:jc w:val="right"/>
            </w:pPr>
            <w:r>
              <w:t xml:space="preserve">8.0% adjusted</w:t>
            </w:r>
          </w:p>
        </w:tc>
      </w:tr>
    </w:tbl>
    <w:p>
      <w:pPr>
        <w:pStyle w:val="BodyText"/>
      </w:pPr>
      <w:r>
        <w:t xml:space="preserve">The implied consolidated revenue range is approximately</w:t>
      </w:r>
      <w:r>
        <w:t xml:space="preserve"> </w:t>
      </w:r>
      <m:oMath>
        <m:r>
          <m:t>21.4</m:t>
        </m:r>
        <m:r>
          <m:t>B</m:t>
        </m:r>
        <m:r>
          <m:rPr>
            <m:sty m:val="p"/>
          </m:rPr>
          <m:t>–</m:t>
        </m:r>
      </m:oMath>
      <w:r>
        <w:rPr>
          <w:b/>
          <w:bCs/>
        </w:rPr>
        <w:t xml:space="preserve">21.8B</w:t>
      </w:r>
      <w:r>
        <w:t xml:space="preserve">, assuming “low single digit” growth off 2Q25’s $21.2B base. The margin setup is more important than the revenue setup: a U.S. Domestic margin in the guided range would represent a major sequential step-up from</w:t>
      </w:r>
      <w:r>
        <w:t xml:space="preserve"> </w:t>
      </w:r>
      <w:r>
        <w:rPr>
          <w:b/>
          <w:bCs/>
        </w:rPr>
        <w:t xml:space="preserve">4.0% adjusted in 1Q26</w:t>
      </w:r>
      <w:r>
        <w:t xml:space="preserve">, although the year-over-year comparison is less clean given ongoing network actions and differing transformation costs.</w:t>
      </w:r>
    </w:p>
    <w:p>
      <w:r>
        <w:pict>
          <v:rect style="width:0;height:1.5pt" o:hralign="center" o:hrstd="t" o:hr="t"/>
        </w:pict>
      </w:r>
    </w:p>
    <w:bookmarkEnd w:id="10"/>
    <w:bookmarkStart w:id="13" w:name="X2c56f65da3cfd102875204efd51d6ac7b4f1200"/>
    <w:p>
      <w:pPr>
        <w:pStyle w:val="Heading2"/>
      </w:pPr>
      <w:r>
        <w:t xml:space="preserve">Why the quarter should improve sharply from 1Q</w:t>
      </w:r>
    </w:p>
    <w:bookmarkStart w:id="11" w:name="X7f8b66dfb492e80eedb5f2c42bb83d08c7a5829"/>
    <w:p>
      <w:pPr>
        <w:pStyle w:val="Heading3"/>
      </w:pPr>
      <w:r>
        <w:t xml:space="preserve">1. Several discrete 1Q pressures should unwind</w:t>
      </w:r>
    </w:p>
    <w:p>
      <w:pPr>
        <w:pStyle w:val="FirstParagraph"/>
      </w:pPr>
      <w:r>
        <w:t xml:space="preserve">UPS reported</w:t>
      </w:r>
      <w:r>
        <w:t xml:space="preserve"> </w:t>
      </w:r>
      <w:r>
        <w:rPr>
          <w:b/>
          <w:bCs/>
        </w:rPr>
        <w:t xml:space="preserve">$350M of incremental temporary pressure in 1Q</w:t>
      </w:r>
      <w:r>
        <w:t xml:space="preserve"> </w:t>
      </w:r>
      <w:r>
        <w:t xml:space="preserve">from weather and casualty costs, aircraft leasing after the MD-11 retirement, Ground Saver transition costs, and excess operational staffing. Management said these costs were “largely behind” the company entering 2Q.</w:t>
      </w:r>
    </w:p>
    <w:p>
      <w:pPr>
        <w:pStyle w:val="BodyText"/>
      </w:pPr>
      <w:r>
        <w:t xml:space="preserve">The expected 2Q improvement rests on four operational changes:</w:t>
      </w:r>
    </w:p>
    <w:p>
      <w:pPr>
        <w:pStyle w:val="Compact"/>
        <w:numPr>
          <w:ilvl w:val="0"/>
          <w:numId w:val="1002"/>
        </w:numPr>
      </w:pPr>
      <w:r>
        <w:rPr>
          <w:b/>
          <w:bCs/>
        </w:rPr>
        <w:t xml:space="preserve">Ground Saver transition completed:</w:t>
      </w:r>
      <w:r>
        <w:t xml:space="preserve"> </w:t>
      </w:r>
      <w:r>
        <w:t xml:space="preserve">UPS shifted a portion of Ground Saver final-mile delivery to USPS. The transition created duplicate processes and excess staffing in 1Q; those should now be eliminated.</w:t>
      </w:r>
    </w:p>
    <w:p>
      <w:pPr>
        <w:pStyle w:val="Compact"/>
        <w:numPr>
          <w:ilvl w:val="0"/>
          <w:numId w:val="1002"/>
        </w:numPr>
      </w:pPr>
      <w:r>
        <w:rPr>
          <w:b/>
          <w:bCs/>
        </w:rPr>
        <w:t xml:space="preserve">Amazon glide-down completed by end-June:</w:t>
      </w:r>
      <w:r>
        <w:t xml:space="preserve"> </w:t>
      </w:r>
      <w:r>
        <w:t xml:space="preserve">The company expected to finish its planned reduction in Amazon volume by June 2026.</w:t>
      </w:r>
    </w:p>
    <w:p>
      <w:pPr>
        <w:pStyle w:val="Compact"/>
        <w:numPr>
          <w:ilvl w:val="0"/>
          <w:numId w:val="1002"/>
        </w:numPr>
      </w:pPr>
      <w:r>
        <w:rPr>
          <w:b/>
          <w:bCs/>
        </w:rPr>
        <w:t xml:space="preserve">Driver Choice implementation:</w:t>
      </w:r>
      <w:r>
        <w:t xml:space="preserve"> </w:t>
      </w:r>
      <w:r>
        <w:t xml:space="preserve">UPS expects the voluntary driver program to reduce about</w:t>
      </w:r>
      <w:r>
        <w:t xml:space="preserve"> </w:t>
      </w:r>
      <w:r>
        <w:rPr>
          <w:b/>
          <w:bCs/>
        </w:rPr>
        <w:t xml:space="preserve">7,500 full-time driver roles</w:t>
      </w:r>
      <w:r>
        <w:t xml:space="preserve"> </w:t>
      </w:r>
      <w:r>
        <w:t xml:space="preserve">over time; management stated that roughly 77% of participating drivers exited in April, creating a meaningful 2Q benefit.</w:t>
      </w:r>
    </w:p>
    <w:p>
      <w:pPr>
        <w:pStyle w:val="Compact"/>
        <w:numPr>
          <w:ilvl w:val="0"/>
          <w:numId w:val="1002"/>
        </w:numPr>
      </w:pPr>
      <w:r>
        <w:rPr>
          <w:b/>
          <w:bCs/>
        </w:rPr>
        <w:t xml:space="preserve">Lower aircraft replacement costs:</w:t>
      </w:r>
      <w:r>
        <w:t xml:space="preserve"> </w:t>
      </w:r>
      <w:r>
        <w:t xml:space="preserve">New 767 deliveries should reduce the need for costly third-party aircraft leases after the MD-11 retirement.</w:t>
      </w:r>
    </w:p>
    <w:p>
      <w:pPr>
        <w:pStyle w:val="FirstParagraph"/>
      </w:pPr>
      <w:r>
        <w:t xml:space="preserve">This is why the U.S. margin guide of</w:t>
      </w:r>
      <w:r>
        <w:t xml:space="preserve"> </w:t>
      </w:r>
      <w:r>
        <w:rPr>
          <w:b/>
          <w:bCs/>
        </w:rPr>
        <w:t xml:space="preserve">7.5%–8.5%</w:t>
      </w:r>
      <w:r>
        <w:t xml:space="preserve"> </w:t>
      </w:r>
      <w:r>
        <w:t xml:space="preserve">is the primary near-term test. A result below that range—or a result within the range but accompanied by weaker-than-expected July trends—would raise concern that the cost reset is taking longer or costing more than planned.</w:t>
      </w:r>
    </w:p>
    <w:bookmarkEnd w:id="11"/>
    <w:bookmarkStart w:id="12" w:name="X80d263013fd3f220574a518416636eb6b15ebf1"/>
    <w:p>
      <w:pPr>
        <w:pStyle w:val="Heading3"/>
      </w:pPr>
      <w:r>
        <w:t xml:space="preserve">2. Revenue quality has been improving despite lower volume</w:t>
      </w:r>
    </w:p>
    <w:p>
      <w:pPr>
        <w:pStyle w:val="FirstParagraph"/>
      </w:pPr>
      <w:r>
        <w:t xml:space="preserve">In 1Q, U.S. Domestic average daily volume fell</w:t>
      </w:r>
      <w:r>
        <w:t xml:space="preserve"> </w:t>
      </w:r>
      <w:r>
        <w:rPr>
          <w:b/>
          <w:bCs/>
        </w:rPr>
        <w:t xml:space="preserve">8.0%</w:t>
      </w:r>
      <w:r>
        <w:t xml:space="preserve">, but revenue declined only</w:t>
      </w:r>
      <w:r>
        <w:t xml:space="preserve"> </w:t>
      </w:r>
      <w:r>
        <w:rPr>
          <w:b/>
          <w:bCs/>
        </w:rPr>
        <w:t xml:space="preserve">2.3%</w:t>
      </w:r>
      <w:r>
        <w:t xml:space="preserve"> </w:t>
      </w:r>
      <w:r>
        <w:t xml:space="preserve">because revenue per piece rose</w:t>
      </w:r>
      <w:r>
        <w:t xml:space="preserve"> </w:t>
      </w:r>
      <w:r>
        <w:rPr>
          <w:b/>
          <w:bCs/>
        </w:rPr>
        <w:t xml:space="preserve">6.5%</w:t>
      </w:r>
      <w:r>
        <w:t xml:space="preserve">. Management attributed that growth to:</w:t>
      </w:r>
    </w:p>
    <w:p>
      <w:pPr>
        <w:pStyle w:val="Compact"/>
        <w:numPr>
          <w:ilvl w:val="0"/>
          <w:numId w:val="1003"/>
        </w:numPr>
      </w:pPr>
      <w:r>
        <w:t xml:space="preserve">approximately</w:t>
      </w:r>
      <w:r>
        <w:t xml:space="preserve"> </w:t>
      </w:r>
      <w:r>
        <w:rPr>
          <w:b/>
          <w:bCs/>
        </w:rPr>
        <w:t xml:space="preserve">340 bps</w:t>
      </w:r>
      <w:r>
        <w:t xml:space="preserve"> </w:t>
      </w:r>
      <w:r>
        <w:t xml:space="preserve">from pricing and package characteristics,</w:t>
      </w:r>
    </w:p>
    <w:p>
      <w:pPr>
        <w:pStyle w:val="Compact"/>
        <w:numPr>
          <w:ilvl w:val="0"/>
          <w:numId w:val="1003"/>
        </w:numPr>
      </w:pPr>
      <w:r>
        <w:t xml:space="preserve">approximately</w:t>
      </w:r>
      <w:r>
        <w:t xml:space="preserve"> </w:t>
      </w:r>
      <w:r>
        <w:rPr>
          <w:b/>
          <w:bCs/>
        </w:rPr>
        <w:t xml:space="preserve">200 bps</w:t>
      </w:r>
      <w:r>
        <w:t xml:space="preserve"> </w:t>
      </w:r>
      <w:r>
        <w:t xml:space="preserve">from customer and product mix, and</w:t>
      </w:r>
    </w:p>
    <w:p>
      <w:pPr>
        <w:pStyle w:val="Compact"/>
        <w:numPr>
          <w:ilvl w:val="0"/>
          <w:numId w:val="1003"/>
        </w:numPr>
      </w:pPr>
      <w:r>
        <w:t xml:space="preserve">approximately</w:t>
      </w:r>
      <w:r>
        <w:t xml:space="preserve"> </w:t>
      </w:r>
      <w:r>
        <w:rPr>
          <w:b/>
          <w:bCs/>
        </w:rPr>
        <w:t xml:space="preserve">110 bps</w:t>
      </w:r>
      <w:r>
        <w:t xml:space="preserve"> </w:t>
      </w:r>
      <w:r>
        <w:t xml:space="preserve">from fuel.</w:t>
      </w:r>
    </w:p>
    <w:p>
      <w:pPr>
        <w:pStyle w:val="FirstParagraph"/>
      </w:pPr>
      <w:r>
        <w:t xml:space="preserve">The favorable mix reflects the intentional exit from lower-return volume and a greater emphasis on premium opportunities. SMB volume grew</w:t>
      </w:r>
      <w:r>
        <w:t xml:space="preserve"> </w:t>
      </w:r>
      <w:r>
        <w:rPr>
          <w:b/>
          <w:bCs/>
        </w:rPr>
        <w:t xml:space="preserve">1.6%</w:t>
      </w:r>
      <w:r>
        <w:t xml:space="preserve"> </w:t>
      </w:r>
      <w:r>
        <w:t xml:space="preserve">in 1Q, SMB penetration reached a record</w:t>
      </w:r>
      <w:r>
        <w:t xml:space="preserve"> </w:t>
      </w:r>
      <w:r>
        <w:rPr>
          <w:b/>
          <w:bCs/>
        </w:rPr>
        <w:t xml:space="preserve">34.5%</w:t>
      </w:r>
      <w:r>
        <w:t xml:space="preserve"> </w:t>
      </w:r>
      <w:r>
        <w:t xml:space="preserve">of U.S. volume, and B2B represented</w:t>
      </w:r>
      <w:r>
        <w:t xml:space="preserve"> </w:t>
      </w:r>
      <w:r>
        <w:rPr>
          <w:b/>
          <w:bCs/>
        </w:rPr>
        <w:t xml:space="preserve">45.2%</w:t>
      </w:r>
      <w:r>
        <w:t xml:space="preserve"> </w:t>
      </w:r>
      <w:r>
        <w:t xml:space="preserve">of U.S. volume—the highest first-quarter mix level in six years.</w:t>
      </w:r>
    </w:p>
    <w:p>
      <w:pPr>
        <w:pStyle w:val="BodyText"/>
      </w:pPr>
      <w:r>
        <w:t xml:space="preserve">For 2Q, investors should look for continued revenue-per-piece growth, but with an improving</w:t>
      </w:r>
      <w:r>
        <w:t xml:space="preserve"> </w:t>
      </w:r>
      <w:r>
        <w:rPr>
          <w:b/>
          <w:bCs/>
        </w:rPr>
        <w:t xml:space="preserve">spread between revenue per piece and cost per piece</w:t>
      </w:r>
      <w:r>
        <w:t xml:space="preserve">. That spread, rather than headline volume, is the central economic measure of the turnaround.</w:t>
      </w:r>
    </w:p>
    <w:p>
      <w:r>
        <w:pict>
          <v:rect style="width:0;height:1.5pt" o:hralign="center" o:hrstd="t" o:hr="t"/>
        </w:pict>
      </w:r>
    </w:p>
    <w:bookmarkEnd w:id="12"/>
    <w:bookmarkEnd w:id="13"/>
    <w:bookmarkStart w:id="14" w:name="key-earnings-watch-items"/>
    <w:p>
      <w:pPr>
        <w:pStyle w:val="Heading2"/>
      </w:pPr>
      <w:r>
        <w:t xml:space="preserve">Key earnings watch items</w:t>
      </w:r>
    </w:p>
    <w:bookmarkEnd w:id="14"/>
    <w:bookmarkStart w:id="15" w:name="X478dc311aeaa820e6d59aa65a74734d82a5e1da"/>
    <w:p>
      <w:pPr>
        <w:pStyle w:val="Heading2"/>
      </w:pPr>
      <w:r>
        <w:t xml:space="preserve">1. U.S. Domestic margin: the most important number</w:t>
      </w:r>
    </w:p>
    <w:p>
      <w:pPr>
        <w:pStyle w:val="FirstParagraph"/>
      </w:pPr>
      <w:r>
        <w:t xml:space="preserve">The central debate is whether UPS can transition from a low-margin, underutilized network to a more profitable, lower-volume network.</w:t>
      </w:r>
    </w:p>
    <w:p>
      <w:pPr>
        <w:pStyle w:val="BodyText"/>
      </w:pPr>
      <w:r>
        <w:rPr>
          <w:b/>
          <w:bCs/>
        </w:rPr>
        <w:t xml:space="preserve">Constructive outcome</w:t>
      </w:r>
    </w:p>
    <w:p>
      <w:pPr>
        <w:pStyle w:val="Compact"/>
        <w:numPr>
          <w:ilvl w:val="0"/>
          <w:numId w:val="1004"/>
        </w:numPr>
      </w:pPr>
      <w:r>
        <w:t xml:space="preserve">Margin at or above the midpoint of the</w:t>
      </w:r>
      <w:r>
        <w:t xml:space="preserve"> </w:t>
      </w:r>
      <w:r>
        <w:rPr>
          <w:b/>
          <w:bCs/>
        </w:rPr>
        <w:t xml:space="preserve">7.5%–8.5%</w:t>
      </w:r>
      <w:r>
        <w:t xml:space="preserve"> </w:t>
      </w:r>
      <w:r>
        <w:t xml:space="preserve">guide;</w:t>
      </w:r>
    </w:p>
    <w:p>
      <w:pPr>
        <w:pStyle w:val="Compact"/>
        <w:numPr>
          <w:ilvl w:val="0"/>
          <w:numId w:val="1004"/>
        </w:numPr>
      </w:pPr>
      <w:r>
        <w:t xml:space="preserve">Cost per piece decelerates materially from the</w:t>
      </w:r>
      <w:r>
        <w:t xml:space="preserve"> </w:t>
      </w:r>
      <w:r>
        <w:rPr>
          <w:b/>
          <w:bCs/>
        </w:rPr>
        <w:t xml:space="preserve">9.5% adjusted increase in 1Q</w:t>
      </w:r>
      <w:r>
        <w:t xml:space="preserve">;</w:t>
      </w:r>
    </w:p>
    <w:p>
      <w:pPr>
        <w:pStyle w:val="Compact"/>
        <w:numPr>
          <w:ilvl w:val="0"/>
          <w:numId w:val="1004"/>
        </w:numPr>
      </w:pPr>
      <w:r>
        <w:t xml:space="preserve">Management confirms that the Amazon glide-down, USPS transition, driver changes, and aircraft transition are largely complete;</w:t>
      </w:r>
    </w:p>
    <w:p>
      <w:pPr>
        <w:pStyle w:val="Compact"/>
        <w:numPr>
          <w:ilvl w:val="0"/>
          <w:numId w:val="1004"/>
        </w:numPr>
      </w:pPr>
      <w:r>
        <w:t xml:space="preserve">Evidence that premium volume and pricing are replacing exited volume.</w:t>
      </w:r>
    </w:p>
    <w:p>
      <w:pPr>
        <w:pStyle w:val="FirstParagraph"/>
      </w:pPr>
      <w:r>
        <w:rPr>
          <w:b/>
          <w:bCs/>
        </w:rPr>
        <w:t xml:space="preserve">Concerning outcome</w:t>
      </w:r>
    </w:p>
    <w:p>
      <w:pPr>
        <w:pStyle w:val="Compact"/>
        <w:numPr>
          <w:ilvl w:val="0"/>
          <w:numId w:val="1005"/>
        </w:numPr>
      </w:pPr>
      <w:r>
        <w:t xml:space="preserve">Margin near or below the low end of guidance;</w:t>
      </w:r>
    </w:p>
    <w:p>
      <w:pPr>
        <w:pStyle w:val="Compact"/>
        <w:numPr>
          <w:ilvl w:val="0"/>
          <w:numId w:val="1005"/>
        </w:numPr>
      </w:pPr>
      <w:r>
        <w:t xml:space="preserve">Continued high cost-per-piece inflation;</w:t>
      </w:r>
    </w:p>
    <w:p>
      <w:pPr>
        <w:pStyle w:val="Compact"/>
        <w:numPr>
          <w:ilvl w:val="0"/>
          <w:numId w:val="1005"/>
        </w:numPr>
      </w:pPr>
      <w:r>
        <w:t xml:space="preserve">New network-transition, labor, aircraft, or service-cost issues;</w:t>
      </w:r>
    </w:p>
    <w:p>
      <w:pPr>
        <w:pStyle w:val="Compact"/>
        <w:numPr>
          <w:ilvl w:val="0"/>
          <w:numId w:val="1005"/>
        </w:numPr>
      </w:pPr>
      <w:r>
        <w:t xml:space="preserve">A cautious view on the pace of second-half cost savings.</w:t>
      </w:r>
    </w:p>
    <w:p>
      <w:pPr>
        <w:pStyle w:val="FirstParagraph"/>
      </w:pPr>
      <w:r>
        <w:t xml:space="preserve">UPS has targeted a</w:t>
      </w:r>
      <w:r>
        <w:t xml:space="preserve"> </w:t>
      </w:r>
      <w:r>
        <w:rPr>
          <w:b/>
          <w:bCs/>
        </w:rPr>
        <w:t xml:space="preserve">50–100 bp positive spread between revenue-per-piece and cost-per-piece growth</w:t>
      </w:r>
      <w:r>
        <w:t xml:space="preserve"> </w:t>
      </w:r>
      <w:r>
        <w:t xml:space="preserve">by year-end. Commentary on whether it is on track for that exit-rate will matter more than a modest revenue beat or miss.</w:t>
      </w:r>
    </w:p>
    <w:bookmarkEnd w:id="15"/>
    <w:bookmarkStart w:id="16" w:name="X950401d631ba0908cecfb22f8fbb5e128524b4a"/>
    <w:p>
      <w:pPr>
        <w:pStyle w:val="Heading2"/>
      </w:pPr>
      <w:r>
        <w:t xml:space="preserve">2. Cost-out delivery and network reconfiguration</w:t>
      </w:r>
    </w:p>
    <w:p>
      <w:pPr>
        <w:pStyle w:val="FirstParagraph"/>
      </w:pPr>
      <w:r>
        <w:t xml:space="preserve">UPS expects roughly</w:t>
      </w:r>
      <w:r>
        <w:t xml:space="preserve"> </w:t>
      </w:r>
      <m:oMath>
        <m:r>
          <m:t>3</m:t>
        </m:r>
        <m:r>
          <m:t>B</m:t>
        </m:r>
        <m:r>
          <m:t>o</m:t>
        </m:r>
        <m:r>
          <m:t>f</m:t>
        </m:r>
        <m:r>
          <m:t>y</m:t>
        </m:r>
        <m:r>
          <m:t>e</m:t>
        </m:r>
        <m:r>
          <m:t>a</m:t>
        </m:r>
        <m:r>
          <m:t>r</m:t>
        </m:r>
        <m:r>
          <m:rPr>
            <m:sty m:val="p"/>
          </m:rPr>
          <m:t>−</m:t>
        </m:r>
        <m:r>
          <m:t>o</m:t>
        </m:r>
        <m:r>
          <m:t>v</m:t>
        </m:r>
        <m:r>
          <m:t>e</m:t>
        </m:r>
        <m:r>
          <m:t>r</m:t>
        </m:r>
        <m:r>
          <m:rPr>
            <m:sty m:val="p"/>
          </m:rPr>
          <m:t>−</m:t>
        </m:r>
        <m:r>
          <m:t>y</m:t>
        </m:r>
        <m:r>
          <m:t>e</m:t>
        </m:r>
        <m:r>
          <m:t>a</m:t>
        </m:r>
        <m:r>
          <m:t>r</m:t>
        </m:r>
        <m:r>
          <m:t>s</m:t>
        </m:r>
        <m:r>
          <m:t>a</m:t>
        </m:r>
        <m:r>
          <m:t>v</m:t>
        </m:r>
        <m:r>
          <m:t>i</m:t>
        </m:r>
        <m:r>
          <m:t>n</m:t>
        </m:r>
        <m:r>
          <m:t>g</m:t>
        </m:r>
        <m:r>
          <m:t>s</m:t>
        </m:r>
        <m:r>
          <m:t>i</m:t>
        </m:r>
        <m:r>
          <m:t>n</m:t>
        </m:r>
        <m:r>
          <m:t>2026</m:t>
        </m:r>
        <m:r>
          <m:rPr>
            <m:sty m:val="p"/>
          </m:rPr>
          <m:t>*</m:t>
        </m:r>
        <m:r>
          <m:rPr>
            <m:sty m:val="p"/>
          </m:rPr>
          <m:t>*</m:t>
        </m:r>
        <m:r>
          <m:t>f</m:t>
        </m:r>
        <m:r>
          <m:t>r</m:t>
        </m:r>
        <m:r>
          <m:t>o</m:t>
        </m:r>
        <m:r>
          <m:t>m</m:t>
        </m:r>
        <m:r>
          <m:t>N</m:t>
        </m:r>
        <m:r>
          <m:t>e</m:t>
        </m:r>
        <m:r>
          <m:t>t</m:t>
        </m:r>
        <m:r>
          <m:t>w</m:t>
        </m:r>
        <m:r>
          <m:t>o</m:t>
        </m:r>
        <m:r>
          <m:t>r</m:t>
        </m:r>
        <m:r>
          <m:t>k</m:t>
        </m:r>
        <m:r>
          <m:t>R</m:t>
        </m:r>
        <m:r>
          <m:t>e</m:t>
        </m:r>
        <m:r>
          <m:t>c</m:t>
        </m:r>
        <m:r>
          <m:t>o</m:t>
        </m:r>
        <m:r>
          <m:t>n</m:t>
        </m:r>
        <m:r>
          <m:t>f</m:t>
        </m:r>
        <m:r>
          <m:t>i</m:t>
        </m:r>
        <m:r>
          <m:t>g</m:t>
        </m:r>
        <m:r>
          <m:t>u</m:t>
        </m:r>
        <m:r>
          <m:t>r</m:t>
        </m:r>
        <m:r>
          <m:t>a</m:t>
        </m:r>
        <m:r>
          <m:t>t</m:t>
        </m:r>
        <m:r>
          <m:t>i</m:t>
        </m:r>
        <m:r>
          <m:t>o</m:t>
        </m:r>
        <m:r>
          <m:t>n</m:t>
        </m:r>
        <m:r>
          <m:t>a</m:t>
        </m:r>
        <m:r>
          <m:t>n</m:t>
        </m:r>
        <m:r>
          <m:t>d</m:t>
        </m:r>
        <m:r>
          <m:t>E</m:t>
        </m:r>
        <m:r>
          <m:t>f</m:t>
        </m:r>
        <m:r>
          <m:t>f</m:t>
        </m:r>
        <m:r>
          <m:t>i</m:t>
        </m:r>
        <m:r>
          <m:t>c</m:t>
        </m:r>
        <m:r>
          <m:t>i</m:t>
        </m:r>
        <m:r>
          <m:t>e</m:t>
        </m:r>
        <m:r>
          <m:t>n</m:t>
        </m:r>
        <m:r>
          <m:t>c</m:t>
        </m:r>
        <m:r>
          <m:t>y</m:t>
        </m:r>
        <m:r>
          <m:t>R</m:t>
        </m:r>
        <m:r>
          <m:t>e</m:t>
        </m:r>
        <m:r>
          <m:t>i</m:t>
        </m:r>
        <m:r>
          <m:t>m</m:t>
        </m:r>
        <m:r>
          <m:t>a</m:t>
        </m:r>
        <m:r>
          <m:t>g</m:t>
        </m:r>
        <m:r>
          <m:t>i</m:t>
        </m:r>
        <m:r>
          <m:t>n</m:t>
        </m:r>
        <m:r>
          <m:t>e</m:t>
        </m:r>
        <m:r>
          <m:t>d</m:t>
        </m:r>
        <m:r>
          <m:t>i</m:t>
        </m:r>
        <m:r>
          <m:t>n</m:t>
        </m:r>
        <m:r>
          <m:t>i</m:t>
        </m:r>
        <m:r>
          <m:t>t</m:t>
        </m:r>
        <m:r>
          <m:t>i</m:t>
        </m:r>
        <m:r>
          <m:t>a</m:t>
        </m:r>
        <m:r>
          <m:t>t</m:t>
        </m:r>
        <m:r>
          <m:t>i</m:t>
        </m:r>
        <m:r>
          <m:t>v</m:t>
        </m:r>
        <m:r>
          <m:t>e</m:t>
        </m:r>
        <m:r>
          <m:t>s</m:t>
        </m:r>
        <m:r>
          <m:rPr>
            <m:sty m:val="p"/>
          </m:rPr>
          <m:t>.</m:t>
        </m:r>
        <m:r>
          <m:t>I</m:t>
        </m:r>
        <m:r>
          <m:t>t</m:t>
        </m:r>
        <m:r>
          <m:t>r</m:t>
        </m:r>
        <m:r>
          <m:t>e</m:t>
        </m:r>
        <m:r>
          <m:t>p</m:t>
        </m:r>
        <m:r>
          <m:t>o</m:t>
        </m:r>
        <m:r>
          <m:t>r</m:t>
        </m:r>
        <m:r>
          <m:t>t</m:t>
        </m:r>
        <m:r>
          <m:t>e</m:t>
        </m:r>
        <m:r>
          <m:t>d</m:t>
        </m:r>
        <m:r>
          <m:t>a</m:t>
        </m:r>
        <m:r>
          <m:t>p</m:t>
        </m:r>
        <m:r>
          <m:t>p</m:t>
        </m:r>
        <m:r>
          <m:t>r</m:t>
        </m:r>
        <m:r>
          <m:t>o</m:t>
        </m:r>
        <m:r>
          <m:t>x</m:t>
        </m:r>
        <m:r>
          <m:t>i</m:t>
        </m:r>
        <m:r>
          <m:t>m</m:t>
        </m:r>
        <m:r>
          <m:t>a</m:t>
        </m:r>
        <m:r>
          <m:t>t</m:t>
        </m:r>
        <m:r>
          <m:t>e</m:t>
        </m:r>
        <m:r>
          <m:t>l</m:t>
        </m:r>
        <m:r>
          <m:t>y</m:t>
        </m:r>
        <m:r>
          <m:rPr>
            <m:sty m:val="p"/>
          </m:rPr>
          <m:t>*</m:t>
        </m:r>
        <m:r>
          <m:rPr>
            <m:sty m:val="p"/>
          </m:rPr>
          <m:t>*</m:t>
        </m:r>
      </m:oMath>
      <w:r>
        <w:rPr>
          <w:b/>
          <w:bCs/>
        </w:rPr>
        <w:t xml:space="preserve">600M of savings in 1Q</w:t>
      </w:r>
      <w:r>
        <w:t xml:space="preserve"> </w:t>
      </w:r>
      <w:r>
        <w:t xml:space="preserve">and had closed 23 facilities during the quarter, with 27 additional closures planned for 2026, largely in 2Q.</w:t>
      </w:r>
    </w:p>
    <w:p>
      <w:pPr>
        <w:pStyle w:val="BodyText"/>
      </w:pPr>
      <w:r>
        <w:t xml:space="preserve">Investors should ask:</w:t>
      </w:r>
    </w:p>
    <w:p>
      <w:pPr>
        <w:pStyle w:val="Compact"/>
        <w:numPr>
          <w:ilvl w:val="0"/>
          <w:numId w:val="1006"/>
        </w:numPr>
      </w:pPr>
      <w:r>
        <w:t xml:space="preserve">How much savings were realized in 2Q and year to date?</w:t>
      </w:r>
    </w:p>
    <w:p>
      <w:pPr>
        <w:pStyle w:val="Compact"/>
        <w:numPr>
          <w:ilvl w:val="0"/>
          <w:numId w:val="1006"/>
        </w:numPr>
      </w:pPr>
      <w:r>
        <w:t xml:space="preserve">Are the targeted building closures completed?</w:t>
      </w:r>
    </w:p>
    <w:p>
      <w:pPr>
        <w:pStyle w:val="Compact"/>
        <w:numPr>
          <w:ilvl w:val="0"/>
          <w:numId w:val="1006"/>
        </w:numPr>
      </w:pPr>
      <w:r>
        <w:t xml:space="preserve">Is headcount reduction tracking the planned reduction in roughly 30,000 operational positions?</w:t>
      </w:r>
    </w:p>
    <w:p>
      <w:pPr>
        <w:pStyle w:val="Compact"/>
        <w:numPr>
          <w:ilvl w:val="0"/>
          <w:numId w:val="1006"/>
        </w:numPr>
      </w:pPr>
      <w:r>
        <w:t xml:space="preserve">Has the driver program altered operational execution, service quality, or labor relations?</w:t>
      </w:r>
    </w:p>
    <w:p>
      <w:pPr>
        <w:pStyle w:val="Compact"/>
        <w:numPr>
          <w:ilvl w:val="0"/>
          <w:numId w:val="1006"/>
        </w:numPr>
      </w:pPr>
      <w:r>
        <w:t xml:space="preserve">What level of transformation and separation costs remain in 2H26 and into 2027?</w:t>
      </w:r>
    </w:p>
    <w:p>
      <w:pPr>
        <w:pStyle w:val="FirstParagraph"/>
      </w:pPr>
      <w:r>
        <w:t xml:space="preserve">A key nuance: UPS expects</w:t>
      </w:r>
      <w:r>
        <w:t xml:space="preserve"> </w:t>
      </w:r>
      <m:oMath>
        <m:r>
          <m:t>1.3</m:t>
        </m:r>
        <m:r>
          <m:t>B</m:t>
        </m:r>
        <m:r>
          <m:rPr>
            <m:sty m:val="p"/>
          </m:rPr>
          <m:t>–</m:t>
        </m:r>
      </m:oMath>
      <w:r>
        <w:rPr>
          <w:b/>
          <w:bCs/>
        </w:rPr>
        <w:t xml:space="preserve">1.5B of non-GAAP-excluded program costs during 2026</w:t>
      </w:r>
      <w:r>
        <w:t xml:space="preserve">, including about $1.2B tied to Driver Choice. Investors should distinguish between operational savings and the cash/GAAP costs required to obtain them.</w:t>
      </w:r>
    </w:p>
    <w:bookmarkEnd w:id="16"/>
    <w:bookmarkStart w:id="17" w:name="Xd9bdcb1da3e8cd9b3c902e46c51c1d180bbbac4"/>
    <w:p>
      <w:pPr>
        <w:pStyle w:val="Heading2"/>
      </w:pPr>
      <w:r>
        <w:t xml:space="preserve">3. Amazon: completion and quality of the remaining relationship</w:t>
      </w:r>
    </w:p>
    <w:p>
      <w:pPr>
        <w:pStyle w:val="FirstParagraph"/>
      </w:pPr>
      <w:r>
        <w:t xml:space="preserve">At the end of 1Q, Amazon represented</w:t>
      </w:r>
      <w:r>
        <w:t xml:space="preserve"> </w:t>
      </w:r>
      <w:r>
        <w:rPr>
          <w:b/>
          <w:bCs/>
        </w:rPr>
        <w:t xml:space="preserve">8.8% of UPS revenue</w:t>
      </w:r>
      <w:r>
        <w:t xml:space="preserve">, down from more than 13% not long before. Management expected to complete a more-than-50% reduction in Amazon volume from 2024 levels by June 2026.</w:t>
      </w:r>
    </w:p>
    <w:p>
      <w:pPr>
        <w:pStyle w:val="BodyText"/>
      </w:pPr>
      <w:r>
        <w:t xml:space="preserve">The key issue is not merely whether Amazon volume fell as planned; that was expected. The questions are:</w:t>
      </w:r>
    </w:p>
    <w:p>
      <w:pPr>
        <w:pStyle w:val="Compact"/>
        <w:numPr>
          <w:ilvl w:val="0"/>
          <w:numId w:val="1007"/>
        </w:numPr>
      </w:pPr>
      <w:r>
        <w:t xml:space="preserve">Is the glide-down now complete?</w:t>
      </w:r>
    </w:p>
    <w:p>
      <w:pPr>
        <w:pStyle w:val="Compact"/>
        <w:numPr>
          <w:ilvl w:val="0"/>
          <w:numId w:val="1007"/>
        </w:numPr>
      </w:pPr>
      <w:r>
        <w:t xml:space="preserve">Has UPS retained the more attractive portions of the relationship, including returns?</w:t>
      </w:r>
    </w:p>
    <w:p>
      <w:pPr>
        <w:pStyle w:val="Compact"/>
        <w:numPr>
          <w:ilvl w:val="0"/>
          <w:numId w:val="1007"/>
        </w:numPr>
      </w:pPr>
      <w:r>
        <w:t xml:space="preserve">Are service levels and network density holding up after the reduction?</w:t>
      </w:r>
    </w:p>
    <w:p>
      <w:pPr>
        <w:pStyle w:val="Compact"/>
        <w:numPr>
          <w:ilvl w:val="0"/>
          <w:numId w:val="1007"/>
        </w:numPr>
      </w:pPr>
      <w:r>
        <w:t xml:space="preserve">Is non-Amazon U.S. volume now growing, particularly in SMB, B2B, healthcare, high-tech, and industrial end markets?</w:t>
      </w:r>
    </w:p>
    <w:p>
      <w:pPr>
        <w:pStyle w:val="FirstParagraph"/>
      </w:pPr>
      <w:r>
        <w:t xml:space="preserve">Management previously indicated that revenue excluding Amazon should grow in every quarter during 2026. Confirmation of that statement would be a meaningful positive.</w:t>
      </w:r>
    </w:p>
    <w:bookmarkEnd w:id="17"/>
    <w:bookmarkStart w:id="18" w:name="X0d342fd53a907b279c631f10865df3e6f858bf1"/>
    <w:p>
      <w:pPr>
        <w:pStyle w:val="Heading2"/>
      </w:pPr>
      <w:r>
        <w:t xml:space="preserve">4. International: trade-lane disruption versus recovery</w:t>
      </w:r>
    </w:p>
    <w:p>
      <w:pPr>
        <w:pStyle w:val="FirstParagraph"/>
      </w:pPr>
      <w:r>
        <w:t xml:space="preserve">International remains the biggest external uncertainty. In 1Q, International revenue grew</w:t>
      </w:r>
      <w:r>
        <w:t xml:space="preserve"> </w:t>
      </w:r>
      <w:r>
        <w:rPr>
          <w:b/>
          <w:bCs/>
        </w:rPr>
        <w:t xml:space="preserve">3.8%</w:t>
      </w:r>
      <w:r>
        <w:t xml:space="preserve">, driven by</w:t>
      </w:r>
      <w:r>
        <w:t xml:space="preserve"> </w:t>
      </w:r>
      <w:r>
        <w:rPr>
          <w:b/>
          <w:bCs/>
        </w:rPr>
        <w:t xml:space="preserve">10.7% revenue-per-piece growth</w:t>
      </w:r>
      <w:r>
        <w:t xml:space="preserve">, but adjusted operating margin fell to</w:t>
      </w:r>
      <w:r>
        <w:t xml:space="preserve"> </w:t>
      </w:r>
      <w:r>
        <w:rPr>
          <w:b/>
          <w:bCs/>
        </w:rPr>
        <w:t xml:space="preserve">12.1%</w:t>
      </w:r>
      <w:r>
        <w:t xml:space="preserve"> </w:t>
      </w:r>
      <w:r>
        <w:t xml:space="preserve">from 15.0% a year earlier. The decline reflected trade-policy disruption, weaker China-to-U.S. volumes, and higher network costs related to Middle East airspace constraints.</w:t>
      </w:r>
    </w:p>
    <w:p>
      <w:pPr>
        <w:pStyle w:val="BodyText"/>
      </w:pPr>
      <w:r>
        <w:t xml:space="preserve">For 2Q, UPS guided to a</w:t>
      </w:r>
      <w:r>
        <w:t xml:space="preserve"> </w:t>
      </w:r>
      <w:r>
        <w:rPr>
          <w:b/>
          <w:bCs/>
        </w:rPr>
        <w:t xml:space="preserve">13%–14% International margin</w:t>
      </w:r>
      <w:r>
        <w:t xml:space="preserve">, below the 15.2% adjusted margin achieved in 2Q25.</w:t>
      </w:r>
    </w:p>
    <w:p>
      <w:pPr>
        <w:pStyle w:val="BodyText"/>
      </w:pPr>
      <w:r>
        <w:t xml:space="preserve">Important indicators:</w:t>
      </w:r>
    </w:p>
    <w:p>
      <w:pPr>
        <w:pStyle w:val="Compact"/>
        <w:numPr>
          <w:ilvl w:val="0"/>
          <w:numId w:val="1008"/>
        </w:numPr>
      </w:pPr>
      <w:r>
        <w:t xml:space="preserve">China-to-U.S. and Europe-to-U.S. import volume trends;</w:t>
      </w:r>
    </w:p>
    <w:p>
      <w:pPr>
        <w:pStyle w:val="Compact"/>
        <w:numPr>
          <w:ilvl w:val="0"/>
          <w:numId w:val="1008"/>
        </w:numPr>
      </w:pPr>
      <w:r>
        <w:t xml:space="preserve">Growth in Asia-to-rest-of-world trade lanes;</w:t>
      </w:r>
    </w:p>
    <w:p>
      <w:pPr>
        <w:pStyle w:val="Compact"/>
        <w:numPr>
          <w:ilvl w:val="0"/>
          <w:numId w:val="1008"/>
        </w:numPr>
      </w:pPr>
      <w:r>
        <w:t xml:space="preserve">Air-network rerouting and fuel costs related to the Middle East;</w:t>
      </w:r>
    </w:p>
    <w:p>
      <w:pPr>
        <w:pStyle w:val="Compact"/>
        <w:numPr>
          <w:ilvl w:val="0"/>
          <w:numId w:val="1008"/>
        </w:numPr>
      </w:pPr>
      <w:r>
        <w:t xml:space="preserve">Impact from de minimis and broader tariff-policy changes;</w:t>
      </w:r>
    </w:p>
    <w:p>
      <w:pPr>
        <w:pStyle w:val="Compact"/>
        <w:numPr>
          <w:ilvl w:val="0"/>
          <w:numId w:val="1008"/>
        </w:numPr>
      </w:pPr>
      <w:r>
        <w:t xml:space="preserve">Evidence that higher-margin healthcare, technology, and commercial shipments are offsetting structurally weaker low-value e-commerce flows.</w:t>
      </w:r>
    </w:p>
    <w:p>
      <w:pPr>
        <w:pStyle w:val="FirstParagraph"/>
      </w:pPr>
      <w:r>
        <w:t xml:space="preserve">A better-than-guided International margin would materially improve confidence that 2026’s trade-lane shocks are moderating.</w:t>
      </w:r>
    </w:p>
    <w:bookmarkEnd w:id="18"/>
    <w:bookmarkStart w:id="19" w:name="Xc414a58e57aebf115c523a5e7d18e7b99a7a019"/>
    <w:p>
      <w:pPr>
        <w:pStyle w:val="Heading2"/>
      </w:pPr>
      <w:r>
        <w:t xml:space="preserve">5. Supply Chain Solutions: healthcare is the upside lever</w:t>
      </w:r>
    </w:p>
    <w:p>
      <w:pPr>
        <w:pStyle w:val="FirstParagraph"/>
      </w:pPr>
      <w:r>
        <w:t xml:space="preserve">Supply Chain Solutions was the standout in 1Q: adjusted operating profit more than doubled to</w:t>
      </w:r>
      <w:r>
        <w:t xml:space="preserve"> </w:t>
      </w:r>
      <w:r>
        <w:rPr>
          <w:b/>
          <w:bCs/>
        </w:rPr>
        <w:t xml:space="preserve">$206M</w:t>
      </w:r>
      <w:r>
        <w:t xml:space="preserve">, and adjusted margin expanded to</w:t>
      </w:r>
      <w:r>
        <w:t xml:space="preserve"> </w:t>
      </w:r>
      <w:r>
        <w:rPr>
          <w:b/>
          <w:bCs/>
        </w:rPr>
        <w:t xml:space="preserve">8.1%</w:t>
      </w:r>
      <w:r>
        <w:t xml:space="preserve">. For 2Q, UPS guided to an additional step-up to</w:t>
      </w:r>
      <w:r>
        <w:t xml:space="preserve"> </w:t>
      </w:r>
      <w:r>
        <w:rPr>
          <w:b/>
          <w:bCs/>
        </w:rPr>
        <w:t xml:space="preserve">9.5%–10.5%</w:t>
      </w:r>
      <w:r>
        <w:t xml:space="preserve">.</w:t>
      </w:r>
    </w:p>
    <w:p>
      <w:pPr>
        <w:pStyle w:val="BodyText"/>
      </w:pPr>
      <w:r>
        <w:t xml:space="preserve">Healthcare is central. UPS generated its first</w:t>
      </w:r>
      <w:r>
        <w:t xml:space="preserve"> </w:t>
      </w:r>
      <w:r>
        <w:rPr>
          <w:b/>
          <w:bCs/>
        </w:rPr>
        <w:t xml:space="preserve">$3B global healthcare revenue quarter</w:t>
      </w:r>
      <w:r>
        <w:t xml:space="preserve"> </w:t>
      </w:r>
      <w:r>
        <w:t xml:space="preserve">in 1Q, and the 2025 acquisition of Andlauer Healthcare Group supports the company’s higher-margin, specialized logistics strategy.</w:t>
      </w:r>
    </w:p>
    <w:p>
      <w:pPr>
        <w:pStyle w:val="BodyText"/>
      </w:pPr>
      <w:r>
        <w:t xml:space="preserve">Watch for:</w:t>
      </w:r>
    </w:p>
    <w:p>
      <w:pPr>
        <w:pStyle w:val="Compact"/>
        <w:numPr>
          <w:ilvl w:val="0"/>
          <w:numId w:val="1009"/>
        </w:numPr>
      </w:pPr>
      <w:r>
        <w:t xml:space="preserve">Healthcare revenue and integration progress;</w:t>
      </w:r>
    </w:p>
    <w:p>
      <w:pPr>
        <w:pStyle w:val="Compact"/>
        <w:numPr>
          <w:ilvl w:val="0"/>
          <w:numId w:val="1009"/>
        </w:numPr>
      </w:pPr>
      <w:r>
        <w:t xml:space="preserve">Whether the expected margin expansion is organic or acquisition-led;</w:t>
      </w:r>
    </w:p>
    <w:p>
      <w:pPr>
        <w:pStyle w:val="Compact"/>
        <w:numPr>
          <w:ilvl w:val="0"/>
          <w:numId w:val="1009"/>
        </w:numPr>
      </w:pPr>
      <w:r>
        <w:t xml:space="preserve">Recovery—or continued weakness—in forwarding;</w:t>
      </w:r>
    </w:p>
    <w:p>
      <w:pPr>
        <w:pStyle w:val="Compact"/>
        <w:numPr>
          <w:ilvl w:val="0"/>
          <w:numId w:val="1009"/>
        </w:numPr>
      </w:pPr>
      <w:r>
        <w:t xml:space="preserve">Growth at Roadie and Happy Returns;</w:t>
      </w:r>
    </w:p>
    <w:p>
      <w:pPr>
        <w:pStyle w:val="Compact"/>
        <w:numPr>
          <w:ilvl w:val="0"/>
          <w:numId w:val="1009"/>
        </w:numPr>
      </w:pPr>
      <w:r>
        <w:t xml:space="preserve">Mail Innovations volume and profitability after revenue-quality actions.</w:t>
      </w:r>
    </w:p>
    <w:p>
      <w:r>
        <w:pict>
          <v:rect style="width:0;height:1.5pt" o:hralign="center" o:hrstd="t" o:hr="t"/>
        </w:pict>
      </w:r>
    </w:p>
    <w:bookmarkEnd w:id="19"/>
    <w:bookmarkStart w:id="20" w:name="Xb1212390f11a76770b6f2af0c5f7f5595c0145c"/>
    <w:p>
      <w:pPr>
        <w:pStyle w:val="Heading2"/>
      </w:pPr>
      <w:r>
        <w:t xml:space="preserve">Full-year guidance: maintain versus raise is the market-moving issue</w:t>
      </w:r>
    </w:p>
    <w:p>
      <w:pPr>
        <w:pStyle w:val="FirstParagraph"/>
      </w:pPr>
      <w:r>
        <w:t xml:space="preserve">UPS reaffirmed its 2026 outlook after 1Q:</w:t>
      </w:r>
    </w:p>
    <w:p>
      <w:pPr>
        <w:pStyle w:val="Compact"/>
        <w:numPr>
          <w:ilvl w:val="0"/>
          <w:numId w:val="1010"/>
        </w:numPr>
      </w:pPr>
      <w:r>
        <w:rPr>
          <w:b/>
          <w:bCs/>
        </w:rPr>
        <w:t xml:space="preserve">Revenue:</w:t>
      </w:r>
      <w:r>
        <w:t xml:space="preserve"> </w:t>
      </w:r>
      <w:r>
        <w:t xml:space="preserve">approximately</w:t>
      </w:r>
      <w:r>
        <w:t xml:space="preserve"> </w:t>
      </w:r>
      <w:r>
        <w:rPr>
          <w:b/>
          <w:bCs/>
        </w:rPr>
        <w:t xml:space="preserve">$89.7B</w:t>
      </w:r>
    </w:p>
    <w:p>
      <w:pPr>
        <w:pStyle w:val="Compact"/>
        <w:numPr>
          <w:ilvl w:val="0"/>
          <w:numId w:val="1010"/>
        </w:numPr>
      </w:pPr>
      <w:r>
        <w:rPr>
          <w:b/>
          <w:bCs/>
        </w:rPr>
        <w:t xml:space="preserve">Adjusted operating margin:</w:t>
      </w:r>
      <w:r>
        <w:t xml:space="preserve"> </w:t>
      </w:r>
      <w:r>
        <w:t xml:space="preserve">approximately</w:t>
      </w:r>
      <w:r>
        <w:t xml:space="preserve"> </w:t>
      </w:r>
      <w:r>
        <w:rPr>
          <w:b/>
          <w:bCs/>
        </w:rPr>
        <w:t xml:space="preserve">9.6%</w:t>
      </w:r>
    </w:p>
    <w:p>
      <w:pPr>
        <w:pStyle w:val="Compact"/>
        <w:numPr>
          <w:ilvl w:val="0"/>
          <w:numId w:val="1010"/>
        </w:numPr>
      </w:pPr>
      <w:r>
        <w:rPr>
          <w:b/>
          <w:bCs/>
        </w:rPr>
        <w:t xml:space="preserve">Adjusted EPS:</w:t>
      </w:r>
      <w:r>
        <w:t xml:space="preserve"> </w:t>
      </w:r>
      <w:r>
        <w:t xml:space="preserve">approximately flat versus 2025</w:t>
      </w:r>
    </w:p>
    <w:p>
      <w:pPr>
        <w:pStyle w:val="Compact"/>
        <w:numPr>
          <w:ilvl w:val="0"/>
          <w:numId w:val="1010"/>
        </w:numPr>
      </w:pPr>
      <w:r>
        <w:rPr>
          <w:b/>
          <w:bCs/>
        </w:rPr>
        <w:t xml:space="preserve">Capital expenditures:</w:t>
      </w:r>
      <w:r>
        <w:t xml:space="preserve"> </w:t>
      </w:r>
      <w:r>
        <w:t xml:space="preserve">approximately</w:t>
      </w:r>
      <w:r>
        <w:t xml:space="preserve"> </w:t>
      </w:r>
      <w:r>
        <w:rPr>
          <w:b/>
          <w:bCs/>
        </w:rPr>
        <w:t xml:space="preserve">$3.0B</w:t>
      </w:r>
    </w:p>
    <w:p>
      <w:pPr>
        <w:pStyle w:val="Compact"/>
        <w:numPr>
          <w:ilvl w:val="0"/>
          <w:numId w:val="1010"/>
        </w:numPr>
      </w:pPr>
      <w:r>
        <w:rPr>
          <w:b/>
          <w:bCs/>
        </w:rPr>
        <w:t xml:space="preserve">Free cash flow:</w:t>
      </w:r>
      <w:r>
        <w:t xml:space="preserve"> </w:t>
      </w:r>
      <w:r>
        <w:t xml:space="preserve">approximately</w:t>
      </w:r>
      <w:r>
        <w:t xml:space="preserve"> </w:t>
      </w:r>
      <w:r>
        <w:rPr>
          <w:b/>
          <w:bCs/>
        </w:rPr>
        <w:t xml:space="preserve">$5.5B</w:t>
      </w:r>
      <w:r>
        <w:t xml:space="preserve">, including Driver Choice payments</w:t>
      </w:r>
    </w:p>
    <w:p>
      <w:pPr>
        <w:pStyle w:val="Compact"/>
        <w:numPr>
          <w:ilvl w:val="0"/>
          <w:numId w:val="1010"/>
        </w:numPr>
      </w:pPr>
      <w:r>
        <w:rPr>
          <w:b/>
          <w:bCs/>
        </w:rPr>
        <w:t xml:space="preserve">Dividends:</w:t>
      </w:r>
      <w:r>
        <w:t xml:space="preserve"> </w:t>
      </w:r>
      <w:r>
        <w:t xml:space="preserve">approximately</w:t>
      </w:r>
      <w:r>
        <w:t xml:space="preserve"> </w:t>
      </w:r>
      <w:r>
        <w:rPr>
          <w:b/>
          <w:bCs/>
        </w:rPr>
        <w:t xml:space="preserve">$5.4B</w:t>
      </w:r>
      <w:r>
        <w:t xml:space="preserve">, subject to board approval</w:t>
      </w:r>
    </w:p>
    <w:p>
      <w:pPr>
        <w:pStyle w:val="FirstParagraph"/>
      </w:pPr>
      <w:r>
        <w:t xml:space="preserve">A guidance raise is possible only if UPS has high confidence in the demand backdrop, fuel outlook, and pace of cost realization. Given the company’s exposure to consumer confidence, industrial activity, global trade, tariffs, and elevated fuel prices,</w:t>
      </w:r>
      <w:r>
        <w:t xml:space="preserve"> </w:t>
      </w:r>
      <w:r>
        <w:rPr>
          <w:b/>
          <w:bCs/>
        </w:rPr>
        <w:t xml:space="preserve">a reaffirmation accompanied by clear evidence of a second-half margin ramp should still be viewed constructively</w:t>
      </w:r>
      <w:r>
        <w:t xml:space="preserve">.</w:t>
      </w:r>
    </w:p>
    <w:p>
      <w:pPr>
        <w:pStyle w:val="BodyText"/>
      </w:pPr>
      <w:r>
        <w:t xml:space="preserve">Conversely, even a numerical reaffirmation could disappoint if management’s qualitative commentary signals that fuel, trade disruption, or weakening demand is limiting the intended second-half inflection.</w:t>
      </w:r>
    </w:p>
    <w:p>
      <w:r>
        <w:pict>
          <v:rect style="width:0;height:1.5pt" o:hralign="center" o:hrstd="t" o:hr="t"/>
        </w:pict>
      </w:r>
    </w:p>
    <w:bookmarkEnd w:id="20"/>
    <w:bookmarkStart w:id="21" w:name="macro-sensitivities"/>
    <w:p>
      <w:pPr>
        <w:pStyle w:val="Heading2"/>
      </w:pPr>
      <w:r>
        <w:t xml:space="preserve">Macro sensitivities</w:t>
      </w:r>
    </w:p>
    <w:p>
      <w:pPr>
        <w:pStyle w:val="FirstParagraph"/>
      </w:pPr>
      <w:r>
        <w:t xml:space="preserve">UPS has two offsetting macro dynamics:</w:t>
      </w:r>
    </w:p>
    <w:p>
      <w:pPr>
        <w:pStyle w:val="Compact"/>
        <w:numPr>
          <w:ilvl w:val="0"/>
          <w:numId w:val="1011"/>
        </w:numPr>
      </w:pPr>
      <w:r>
        <w:rPr>
          <w:b/>
          <w:bCs/>
        </w:rPr>
        <w:t xml:space="preserve">Fuel:</w:t>
      </w:r>
      <w:r>
        <w:t xml:space="preserve"> </w:t>
      </w:r>
      <w:r>
        <w:t xml:space="preserve">Higher fuel prices increase surcharge revenue but also operating costs. Management has said its weekly fuel-surcharge mechanisms are designed to protect profit over time, but they do not eliminate timing differences or demand risk if elevated fuel prices persist.</w:t>
      </w:r>
    </w:p>
    <w:p>
      <w:pPr>
        <w:pStyle w:val="Compact"/>
        <w:numPr>
          <w:ilvl w:val="0"/>
          <w:numId w:val="1011"/>
        </w:numPr>
      </w:pPr>
      <w:r>
        <w:rPr>
          <w:b/>
          <w:bCs/>
        </w:rPr>
        <w:t xml:space="preserve">Trade policy and tariffs:</w:t>
      </w:r>
      <w:r>
        <w:t xml:space="preserve"> </w:t>
      </w:r>
      <w:r>
        <w:t xml:space="preserve">UPS is a customs and tariff pass-through in many instances, but tariffs can still reduce shipment demand, alter trade lanes, create operational complexity, and pressure its most profitable international corridors.</w:t>
      </w:r>
    </w:p>
    <w:p>
      <w:pPr>
        <w:pStyle w:val="Compact"/>
        <w:numPr>
          <w:ilvl w:val="0"/>
          <w:numId w:val="1011"/>
        </w:numPr>
      </w:pPr>
      <w:r>
        <w:rPr>
          <w:b/>
          <w:bCs/>
        </w:rPr>
        <w:t xml:space="preserve">U.S. consumer and industrial demand:</w:t>
      </w:r>
      <w:r>
        <w:t xml:space="preserve"> </w:t>
      </w:r>
      <w:r>
        <w:t xml:space="preserve">Low consumer confidence and higher household costs are risks to residential shipments, while incremental industrial improvement could help B2B and premium commercial volume.</w:t>
      </w:r>
    </w:p>
    <w:p>
      <w:pPr>
        <w:pStyle w:val="Compact"/>
        <w:numPr>
          <w:ilvl w:val="0"/>
          <w:numId w:val="1011"/>
        </w:numPr>
      </w:pPr>
      <w:r>
        <w:rPr>
          <w:b/>
          <w:bCs/>
        </w:rPr>
        <w:t xml:space="preserve">Foreign exchange and airspace disruption:</w:t>
      </w:r>
      <w:r>
        <w:t xml:space="preserve"> </w:t>
      </w:r>
      <w:r>
        <w:t xml:space="preserve">Both affect International revenue, costs, and margins.</w:t>
      </w:r>
    </w:p>
    <w:p>
      <w:r>
        <w:pict>
          <v:rect style="width:0;height:1.5pt" o:hralign="center" o:hrstd="t" o:hr="t"/>
        </w:pict>
      </w:r>
    </w:p>
    <w:bookmarkEnd w:id="21"/>
    <w:bookmarkStart w:id="22" w:name="stock-setup"/>
    <w:p>
      <w:pPr>
        <w:pStyle w:val="Heading2"/>
      </w:pPr>
      <w:r>
        <w:t xml:space="preserve">Stock setup</w:t>
      </w:r>
    </w:p>
    <w:p>
      <w:pPr>
        <w:pStyle w:val="FirstParagraph"/>
      </w:pPr>
      <w:r>
        <w:t xml:space="preserve">UPS closed at</w:t>
      </w:r>
      <w:r>
        <w:t xml:space="preserve"> </w:t>
      </w:r>
      <w:r>
        <w:rPr>
          <w:b/>
          <w:bCs/>
        </w:rPr>
        <w:t xml:space="preserve">$112.98 on July 27</w:t>
      </w:r>
      <w:r>
        <w:t xml:space="preserve">, up roughly</w:t>
      </w:r>
      <w:r>
        <w:t xml:space="preserve"> </w:t>
      </w:r>
      <w:r>
        <w:rPr>
          <w:b/>
          <w:bCs/>
        </w:rPr>
        <w:t xml:space="preserve">9% from its April 28 post-1Q earnings close of $103.94</w:t>
      </w:r>
      <w:r>
        <w:t xml:space="preserve">. The recovery suggests investors are increasingly willing to underwrite the restructuring and second-half margin narrative, but it also raises the bar for execution.</w:t>
      </w:r>
    </w:p>
    <w:p>
      <w:pPr>
        <w:pStyle w:val="BodyText"/>
      </w:pPr>
      <w:r>
        <w:t xml:space="preserve">The market is likely to reward evidence that the turnaround is becoming operationally visible—not just promised for later in the year.</w:t>
      </w:r>
    </w:p>
    <w:p>
      <w:r>
        <w:pict>
          <v:rect style="width:0;height:1.5pt" o:hralign="center" o:hrstd="t" o:hr="t"/>
        </w:pict>
      </w:r>
    </w:p>
    <w:bookmarkEnd w:id="22"/>
    <w:bookmarkStart w:id="26" w:name="bottom-line"/>
    <w:p>
      <w:pPr>
        <w:pStyle w:val="Heading2"/>
      </w:pPr>
      <w:r>
        <w:t xml:space="preserve">Bottom line</w:t>
      </w:r>
    </w:p>
    <w:p>
      <w:pPr>
        <w:pStyle w:val="FirstParagraph"/>
      </w:pPr>
      <w:r>
        <w:rPr>
          <w:b/>
          <w:bCs/>
        </w:rPr>
        <w:t xml:space="preserve">UPS’s 2Q26 report is principally a margin-execution event.</w:t>
      </w:r>
      <w:r>
        <w:t xml:space="preserve"> </w:t>
      </w:r>
      <w:r>
        <w:t xml:space="preserve">Revenue growth should be modest because the company is intentionally shrinking lower-return volume. The more important question is whether the completed Amazon reduction, USPS transition, driver actions, facility closures, and aircraft normalization produce the guided step-up in U.S. Domestic profitability.</w:t>
      </w:r>
    </w:p>
    <w:bookmarkStart w:id="23" w:name="what-would-support-the-bullish-case"/>
    <w:p>
      <w:pPr>
        <w:pStyle w:val="Heading3"/>
      </w:pPr>
      <w:r>
        <w:t xml:space="preserve">What would support the bullish case</w:t>
      </w:r>
    </w:p>
    <w:p>
      <w:pPr>
        <w:pStyle w:val="Compact"/>
        <w:numPr>
          <w:ilvl w:val="0"/>
          <w:numId w:val="1012"/>
        </w:numPr>
      </w:pPr>
      <w:r>
        <w:t xml:space="preserve">U.S. Domestic margin in the upper half of the 7.5%–8.5% range;</w:t>
      </w:r>
    </w:p>
    <w:p>
      <w:pPr>
        <w:pStyle w:val="Compact"/>
        <w:numPr>
          <w:ilvl w:val="0"/>
          <w:numId w:val="1012"/>
        </w:numPr>
      </w:pPr>
      <w:r>
        <w:t xml:space="preserve">Clear reduction in cost-per-piece growth;</w:t>
      </w:r>
    </w:p>
    <w:p>
      <w:pPr>
        <w:pStyle w:val="Compact"/>
        <w:numPr>
          <w:ilvl w:val="0"/>
          <w:numId w:val="1012"/>
        </w:numPr>
      </w:pPr>
      <w:r>
        <w:t xml:space="preserve">Confirmation that Amazon and Ground Saver transitions are complete;</w:t>
      </w:r>
    </w:p>
    <w:p>
      <w:pPr>
        <w:pStyle w:val="Compact"/>
        <w:numPr>
          <w:ilvl w:val="0"/>
          <w:numId w:val="1012"/>
        </w:numPr>
      </w:pPr>
      <w:r>
        <w:t xml:space="preserve">Strong non-Amazon growth and continued revenue-quality gains;</w:t>
      </w:r>
    </w:p>
    <w:p>
      <w:pPr>
        <w:pStyle w:val="Compact"/>
        <w:numPr>
          <w:ilvl w:val="0"/>
          <w:numId w:val="1012"/>
        </w:numPr>
      </w:pPr>
      <w:r>
        <w:t xml:space="preserve">International margin at or above the 13%–14% guide;</w:t>
      </w:r>
    </w:p>
    <w:p>
      <w:pPr>
        <w:pStyle w:val="Compact"/>
        <w:numPr>
          <w:ilvl w:val="0"/>
          <w:numId w:val="1012"/>
        </w:numPr>
      </w:pPr>
      <w:r>
        <w:t xml:space="preserve">Full-year guidance maintained with confident second-half commentary.</w:t>
      </w:r>
    </w:p>
    <w:bookmarkEnd w:id="23"/>
    <w:bookmarkStart w:id="24" w:name="what-would-support-the-bearish-case"/>
    <w:p>
      <w:pPr>
        <w:pStyle w:val="Heading3"/>
      </w:pPr>
      <w:r>
        <w:t xml:space="preserve">What would support the bearish case</w:t>
      </w:r>
    </w:p>
    <w:p>
      <w:pPr>
        <w:pStyle w:val="Compact"/>
        <w:numPr>
          <w:ilvl w:val="0"/>
          <w:numId w:val="1013"/>
        </w:numPr>
      </w:pPr>
      <w:r>
        <w:t xml:space="preserve">U.S. margin below guidance or continued transition-cost surprises;</w:t>
      </w:r>
    </w:p>
    <w:p>
      <w:pPr>
        <w:pStyle w:val="Compact"/>
        <w:numPr>
          <w:ilvl w:val="0"/>
          <w:numId w:val="1013"/>
        </w:numPr>
      </w:pPr>
      <w:r>
        <w:t xml:space="preserve">Weakening underlying demand beyond intentionally exited volume;</w:t>
      </w:r>
    </w:p>
    <w:p>
      <w:pPr>
        <w:pStyle w:val="Compact"/>
        <w:numPr>
          <w:ilvl w:val="0"/>
          <w:numId w:val="1013"/>
        </w:numPr>
      </w:pPr>
      <w:r>
        <w:t xml:space="preserve">International pressures from trade lanes, tariffs, fuel, or airspace disruptions;</w:t>
      </w:r>
    </w:p>
    <w:p>
      <w:pPr>
        <w:pStyle w:val="Compact"/>
        <w:numPr>
          <w:ilvl w:val="0"/>
          <w:numId w:val="1013"/>
        </w:numPr>
      </w:pPr>
      <w:r>
        <w:t xml:space="preserve">Evidence that savings are delayed, offset by wage/service costs, or require greater restructuring spend;</w:t>
      </w:r>
    </w:p>
    <w:p>
      <w:pPr>
        <w:pStyle w:val="Compact"/>
        <w:numPr>
          <w:ilvl w:val="0"/>
          <w:numId w:val="1013"/>
        </w:numPr>
      </w:pPr>
      <w:r>
        <w:t xml:space="preserve">Reduced confidence in the 9.6% full-year margin target.</w:t>
      </w:r>
    </w:p>
    <w:p>
      <w:r>
        <w:pict>
          <v:rect style="width:0;height:1.5pt" o:hralign="center" o:hrstd="t" o:hr="t"/>
        </w:pict>
      </w:r>
    </w:p>
    <w:bookmarkEnd w:id="24"/>
    <w:bookmarkStart w:id="25" w:name="sources"/>
    <w:p>
      <w:pPr>
        <w:pStyle w:val="Heading3"/>
      </w:pPr>
      <w:r>
        <w:t xml:space="preserve">Sources</w:t>
      </w:r>
    </w:p>
    <w:p>
      <w:pPr>
        <w:pStyle w:val="Compact"/>
        <w:numPr>
          <w:ilvl w:val="0"/>
          <w:numId w:val="1014"/>
        </w:numPr>
      </w:pPr>
      <w:r>
        <w:t xml:space="preserve">UPS 1Q26 earnings release and earnings call, April 28, 2026.</w:t>
      </w:r>
    </w:p>
    <w:p>
      <w:pPr>
        <w:pStyle w:val="Compact"/>
        <w:numPr>
          <w:ilvl w:val="0"/>
          <w:numId w:val="1014"/>
        </w:numPr>
      </w:pPr>
      <w:r>
        <w:t xml:space="preserve">UPS 1Q26 Form 10-Q, filed May 6, 2026.</w:t>
      </w:r>
    </w:p>
    <w:p>
      <w:pPr>
        <w:pStyle w:val="Compact"/>
        <w:numPr>
          <w:ilvl w:val="0"/>
          <w:numId w:val="1014"/>
        </w:numPr>
      </w:pPr>
      <w:r>
        <w:t xml:space="preserve">UPS 2Q25 earnings release, July 29, 2025.</w:t>
      </w:r>
    </w:p>
    <w:p>
      <w:pPr>
        <w:pStyle w:val="Compact"/>
        <w:numPr>
          <w:ilvl w:val="0"/>
          <w:numId w:val="1014"/>
        </w:numPr>
      </w:pPr>
      <w:r>
        <w:t xml:space="preserve">UPS historical share-price data through July 27, 2026.</w:t>
      </w:r>
    </w:p>
    <w:bookmarkEnd w:id="25"/>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2026-07-28T00:19:46Z</dcterms:created>
  <dcterms:modified xsi:type="dcterms:W3CDTF">2026-07-28T00:19:46Z</dcterms:modified>
</cp:coreProperties>
</file>

<file path=docProps/custom.xml><?xml version="1.0" encoding="utf-8"?>
<Properties xmlns="http://schemas.openxmlformats.org/officeDocument/2006/custom-properties" xmlns:vt="http://schemas.openxmlformats.org/officeDocument/2006/docPropsVTypes"/>
</file>