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UPS (United Parcel Service)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UPS</w:t>
            </w:r>
          </w:p>
        </w:tc>
        <w:tc>
          <w:tcPr>
            <w:tcW w:type="dxa" w:w="2160"/>
          </w:tcPr>
          <w:p>
            <w:r>
              <w:rPr>
                <w:rFonts w:ascii="Calibri" w:hAnsi="Calibri"/>
                <w:b/>
                <w:sz w:val="22"/>
              </w:rPr>
              <w:t>Earnings Date</w:t>
            </w:r>
          </w:p>
        </w:tc>
        <w:tc>
          <w:tcPr>
            <w:tcW w:type="dxa" w:w="2160"/>
          </w:tcPr>
          <w:p>
            <w:r>
              <w:rPr>
                <w:rFonts w:ascii="Calibri" w:hAnsi="Calibri"/>
                <w:sz w:val="22"/>
              </w:rPr>
              <w:t>July 28, 2026</w:t>
            </w:r>
          </w:p>
        </w:tc>
      </w:tr>
      <w:tr>
        <w:tc>
          <w:tcPr>
            <w:tcW w:type="dxa" w:w="2160"/>
          </w:tcPr>
          <w:p>
            <w:r>
              <w:rPr>
                <w:rFonts w:ascii="Calibri" w:hAnsi="Calibri"/>
                <w:b/>
                <w:sz w:val="22"/>
              </w:rPr>
              <w:t>Sector</w:t>
            </w:r>
          </w:p>
        </w:tc>
        <w:tc>
          <w:tcPr>
            <w:tcW w:type="dxa" w:w="2160"/>
          </w:tcPr>
          <w:p>
            <w:r>
              <w:rPr>
                <w:rFonts w:ascii="Calibri" w:hAnsi="Calibri"/>
                <w:sz w:val="22"/>
              </w:rPr>
              <w:t>Industrials / Package Delivery</w:t>
            </w:r>
          </w:p>
        </w:tc>
        <w:tc>
          <w:tcPr>
            <w:tcW w:type="dxa" w:w="2160"/>
          </w:tcPr>
          <w:p>
            <w:r>
              <w:rPr>
                <w:rFonts w:ascii="Calibri" w:hAnsi="Calibri"/>
                <w:b/>
                <w:sz w:val="22"/>
              </w:rPr>
              <w:t>Reporting Period</w:t>
            </w:r>
          </w:p>
        </w:tc>
        <w:tc>
          <w:tcPr>
            <w:tcW w:type="dxa" w:w="2160"/>
          </w:tcPr>
          <w:p>
            <w:r>
              <w:rPr>
                <w:rFonts w:ascii="Calibri" w:hAnsi="Calibri"/>
                <w:sz w:val="22"/>
              </w:rPr>
              <w:t>Q2 2026 (Apr–Jun 2026)</w:t>
            </w:r>
          </w:p>
        </w:tc>
      </w:tr>
      <w:tr>
        <w:tc>
          <w:tcPr>
            <w:tcW w:type="dxa" w:w="2160"/>
          </w:tcPr>
          <w:p>
            <w:r>
              <w:rPr>
                <w:rFonts w:ascii="Calibri" w:hAnsi="Calibri"/>
                <w:b/>
                <w:sz w:val="22"/>
              </w:rPr>
              <w:t>Last Earnings</w:t>
            </w:r>
          </w:p>
        </w:tc>
        <w:tc>
          <w:tcPr>
            <w:tcW w:type="dxa" w:w="2160"/>
          </w:tcPr>
          <w:p>
            <w:r>
              <w:rPr>
                <w:rFonts w:ascii="Calibri" w:hAnsi="Calibri"/>
                <w:sz w:val="22"/>
              </w:rPr>
              <w:t>April 28, 2026 (Q1 2026)</w:t>
            </w:r>
          </w:p>
        </w:tc>
        <w:tc>
          <w:tcPr>
            <w:tcW w:type="dxa" w:w="2160"/>
          </w:tcPr>
          <w:p>
            <w:r>
              <w:rPr>
                <w:rFonts w:ascii="Calibri" w:hAnsi="Calibri"/>
                <w:b/>
                <w:sz w:val="22"/>
              </w:rPr>
              <w:t>Prepared Date</w:t>
            </w:r>
          </w:p>
        </w:tc>
        <w:tc>
          <w:tcPr>
            <w:tcW w:type="dxa" w:w="2160"/>
          </w:tcPr>
          <w:p>
            <w:r>
              <w:rPr>
                <w:rFonts w:ascii="Calibri" w:hAnsi="Calibri"/>
                <w:sz w:val="22"/>
              </w:rPr>
              <w:t>July 27,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is a manageable bar, the Amazon glide-down is complete, and Q2 is the first quarter where UPS's cost restructuring should flow through cleanly; the single biggest swing factor is whether the </w:t>
      </w:r>
      <w:r>
        <w:rPr>
          <w:rFonts w:ascii="Calibri" w:hAnsi="Calibri"/>
          <w:b/>
          <w:color w:val="525866"/>
          <w:sz w:val="22"/>
        </w:rPr>
        <w:t>U.S. Domestic operating margin</w:t>
      </w:r>
      <w:r>
        <w:rPr>
          <w:rFonts w:ascii="Calibri" w:hAnsi="Calibri"/>
          <w:color w:val="525866"/>
          <w:sz w:val="22"/>
        </w:rPr>
        <w:t xml:space="preserve"> lands at or above the guided 7.5%–8.5% range.</w:t>
      </w:r>
    </w:p>
    <w:p>
      <w:r>
        <w:rPr>
          <w:rFonts w:ascii="Calibri" w:hAnsi="Calibri"/>
          <w:color w:val="525866"/>
          <w:sz w:val="22"/>
        </w:rPr>
        <w:t xml:space="preserve">Heading into Q2 2026, UPS faces a consensus bar that looks achievable: the Street expects revenue of ~$21.9B and adjusted EPS of ~$1.66, both implying year-over-year growth after a difficult first half. Management's posture on the Q1 call was notably confident — they reaffirmed full-year guidance unchanged despite Middle East fuel headwinds and historic-low consumer confidence, and explicitly stated April results were already tracking ahead of plan. The key structural tailwind is the completion of the Amazon volume glide-down by end of June and the wrap-up of the Ground Saver USPS transition, both of which eliminated the ~$350M in one-time cost pressures that weighed on Q1's 4.0% domestic margin. Estimate revisions have been modestly positive since the Q1 print, with the 2Q26 EPS consensus moving from ~$1.63 to ~$1.66, tracking in line with guidance rather than diverging — a healthy sign that the Street is not over-extrapolating the recovery. The stock has rallied ~8.7% since the Q1 earnings date, outperforming both the S&amp;P 500 (+3.8%) and the IYT transport ETF (+7.8%), but still trades at a meaningful discount to historical multiples, leaving room for further re-rating if management delivers on the promised second-half inflection. The key wildcard is </w:t>
      </w:r>
      <w:r>
        <w:rPr>
          <w:rFonts w:ascii="Calibri" w:hAnsi="Calibri"/>
          <w:b/>
          <w:color w:val="525866"/>
          <w:sz w:val="22"/>
        </w:rPr>
        <w:t>freight market tightening</w:t>
      </w:r>
      <w:r>
        <w:rPr>
          <w:rFonts w:ascii="Calibri" w:hAnsi="Calibri"/>
          <w:color w:val="525866"/>
          <w:sz w:val="22"/>
        </w:rPr>
        <w:t>: peer commentary from JBHT (Q2 2026) and CHRW (Q1 2026) signals the sharpest capacity tightening since 2021–2022, with spot rates surging and customers scrambling for capacity — a dynamic that could drive upside in UPS's revenue per piece and volume mix beyond what guidance assumed.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the Street expects a meaningful sequential recovery in U.S. Domestic operating margin (4.0% in Q1 → ~7.8% in Q2), but guidance midpoint of 8.0% sits above consensus, creating potential upside. </w:t>
      </w:r>
      <w:r>
        <w:rPr>
          <w:rFonts w:ascii="Calibri" w:hAnsi="Calibri"/>
          <w:b/>
          <w:color w:val="525866"/>
          <w:sz w:val="22"/>
        </w:rPr>
        <w:t>U.S. Domestic operating margin</w:t>
      </w:r>
      <w:r>
        <w:rPr>
          <w:rFonts w:ascii="Calibri" w:hAnsi="Calibri"/>
          <w:color w:val="525866"/>
          <w:sz w:val="22"/>
        </w:rPr>
        <w:t xml:space="preserve"> is the bigger swing factor; revenue per piece is the quality signal.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(Total)</w:t>
            </w:r>
          </w:p>
        </w:tc>
        <w:tc>
          <w:tcPr>
            <w:tcW w:type="dxa" w:w="1234"/>
          </w:tcPr>
          <w:p>
            <w:r>
              <w:rPr>
                <w:rFonts w:ascii="Calibri" w:hAnsi="Calibri"/>
                <w:sz w:val="22"/>
              </w:rPr>
              <w:t>$21.2B</w:t>
            </w:r>
          </w:p>
        </w:tc>
        <w:tc>
          <w:tcPr>
            <w:tcW w:type="dxa" w:w="1234"/>
          </w:tcPr>
          <w:p>
            <w:r>
              <w:rPr>
                <w:rFonts w:ascii="Calibri" w:hAnsi="Calibri"/>
                <w:sz w:val="22"/>
              </w:rPr>
              <w:t>$21.2B</w:t>
            </w:r>
          </w:p>
        </w:tc>
        <w:tc>
          <w:tcPr>
            <w:tcW w:type="dxa" w:w="1234"/>
          </w:tcPr>
          <w:p>
            <w:r>
              <w:rPr>
                <w:rFonts w:ascii="Calibri" w:hAnsi="Calibri"/>
                <w:sz w:val="22"/>
              </w:rPr>
              <w:t>$21.9B</w:t>
            </w:r>
          </w:p>
        </w:tc>
        <w:tc>
          <w:tcPr>
            <w:tcW w:type="dxa" w:w="1234"/>
          </w:tcPr>
          <w:p>
            <w:r>
              <w:rPr>
                <w:rFonts w:ascii="Calibri" w:hAnsi="Calibri"/>
                <w:sz w:val="22"/>
              </w:rPr>
              <w:t>+3.1% YoY</w:t>
            </w:r>
          </w:p>
        </w:tc>
        <w:tc>
          <w:tcPr>
            <w:tcW w:type="dxa" w:w="1234"/>
          </w:tcPr>
          <w:p>
            <w:r>
              <w:rPr>
                <w:rFonts w:ascii="Calibri" w:hAnsi="Calibri"/>
                <w:sz w:val="22"/>
              </w:rPr>
              <w:t>~$89.7B FY (flat US Dom, low-SD Intl)</w:t>
            </w:r>
          </w:p>
        </w:tc>
        <w:tc>
          <w:tcPr>
            <w:tcW w:type="dxa" w:w="1234"/>
          </w:tcPr>
          <w:p>
            <w:r>
              <w:rPr>
                <w:rFonts w:ascii="Calibri" w:hAnsi="Calibri"/>
                <w:sz w:val="22"/>
              </w:rPr>
              <w:t>~+1.5% vs. implied Q2 run-rate</w:t>
            </w:r>
          </w:p>
        </w:tc>
      </w:tr>
      <w:tr>
        <w:tc>
          <w:tcPr>
            <w:tcW w:type="dxa" w:w="1234"/>
          </w:tcPr>
          <w:p>
            <w:r>
              <w:rPr>
                <w:rFonts w:ascii="Calibri" w:hAnsi="Calibri"/>
                <w:sz w:val="22"/>
              </w:rPr>
              <w:t>Revenue — US Domestic Package</w:t>
            </w:r>
          </w:p>
        </w:tc>
        <w:tc>
          <w:tcPr>
            <w:tcW w:type="dxa" w:w="1234"/>
          </w:tcPr>
          <w:p>
            <w:r>
              <w:rPr>
                <w:rFonts w:ascii="Calibri" w:hAnsi="Calibri"/>
                <w:sz w:val="22"/>
              </w:rPr>
              <w:t>$14.1B</w:t>
            </w:r>
          </w:p>
        </w:tc>
        <w:tc>
          <w:tcPr>
            <w:tcW w:type="dxa" w:w="1234"/>
          </w:tcPr>
          <w:p>
            <w:r>
              <w:rPr>
                <w:rFonts w:ascii="Calibri" w:hAnsi="Calibri"/>
                <w:sz w:val="22"/>
              </w:rPr>
              <w:t>$14.1B</w:t>
            </w:r>
          </w:p>
        </w:tc>
        <w:tc>
          <w:tcPr>
            <w:tcW w:type="dxa" w:w="1234"/>
          </w:tcPr>
          <w:p>
            <w:r>
              <w:rPr>
                <w:rFonts w:ascii="Calibri" w:hAnsi="Calibri"/>
                <w:sz w:val="22"/>
              </w:rPr>
              <w:t>$14.4B</w:t>
            </w:r>
          </w:p>
        </w:tc>
        <w:tc>
          <w:tcPr>
            <w:tcW w:type="dxa" w:w="1234"/>
          </w:tcPr>
          <w:p>
            <w:r>
              <w:rPr>
                <w:rFonts w:ascii="Calibri" w:hAnsi="Calibri"/>
                <w:sz w:val="22"/>
              </w:rPr>
              <w:t>+2.3% YoY</w:t>
            </w:r>
          </w:p>
        </w:tc>
        <w:tc>
          <w:tcPr>
            <w:tcW w:type="dxa" w:w="1234"/>
          </w:tcPr>
          <w:p>
            <w:r>
              <w:rPr>
                <w:rFonts w:ascii="Calibri" w:hAnsi="Calibri"/>
                <w:sz w:val="22"/>
              </w:rPr>
              <w:t>Up low-single digits YoY</w:t>
            </w:r>
          </w:p>
        </w:tc>
        <w:tc>
          <w:tcPr>
            <w:tcW w:type="dxa" w:w="1234"/>
          </w:tcPr>
          <w:p>
            <w:r>
              <w:rPr>
                <w:rFonts w:ascii="Calibri" w:hAnsi="Calibri"/>
                <w:sz w:val="22"/>
              </w:rPr>
              <w:t>In line with guidance</w:t>
            </w:r>
          </w:p>
        </w:tc>
      </w:tr>
      <w:tr>
        <w:tc>
          <w:tcPr>
            <w:tcW w:type="dxa" w:w="1234"/>
          </w:tcPr>
          <w:p>
            <w:r>
              <w:rPr>
                <w:rFonts w:ascii="Calibri" w:hAnsi="Calibri"/>
                <w:sz w:val="22"/>
              </w:rPr>
              <w:t>Revenue — International Package</w:t>
            </w:r>
          </w:p>
        </w:tc>
        <w:tc>
          <w:tcPr>
            <w:tcW w:type="dxa" w:w="1234"/>
          </w:tcPr>
          <w:p>
            <w:r>
              <w:rPr>
                <w:rFonts w:ascii="Calibri" w:hAnsi="Calibri"/>
                <w:sz w:val="22"/>
              </w:rPr>
              <w:t>$4.5B</w:t>
            </w:r>
          </w:p>
        </w:tc>
        <w:tc>
          <w:tcPr>
            <w:tcW w:type="dxa" w:w="1234"/>
          </w:tcPr>
          <w:p>
            <w:r>
              <w:rPr>
                <w:rFonts w:ascii="Calibri" w:hAnsi="Calibri"/>
                <w:sz w:val="22"/>
              </w:rPr>
              <w:t>$4.5B</w:t>
            </w:r>
          </w:p>
        </w:tc>
        <w:tc>
          <w:tcPr>
            <w:tcW w:type="dxa" w:w="1234"/>
          </w:tcPr>
          <w:p>
            <w:r>
              <w:rPr>
                <w:rFonts w:ascii="Calibri" w:hAnsi="Calibri"/>
                <w:sz w:val="22"/>
              </w:rPr>
              <w:t>$4.7B</w:t>
            </w:r>
          </w:p>
        </w:tc>
        <w:tc>
          <w:tcPr>
            <w:tcW w:type="dxa" w:w="1234"/>
          </w:tcPr>
          <w:p>
            <w:r>
              <w:rPr>
                <w:rFonts w:ascii="Calibri" w:hAnsi="Calibri"/>
                <w:sz w:val="22"/>
              </w:rPr>
              <w:t>+4.5% YoY</w:t>
            </w:r>
          </w:p>
        </w:tc>
        <w:tc>
          <w:tcPr>
            <w:tcW w:type="dxa" w:w="1234"/>
          </w:tcPr>
          <w:p>
            <w:r>
              <w:rPr>
                <w:rFonts w:ascii="Calibri" w:hAnsi="Calibri"/>
                <w:sz w:val="22"/>
              </w:rPr>
              <w:t>Low-single digit growth YoY</w:t>
            </w:r>
          </w:p>
        </w:tc>
        <w:tc>
          <w:tcPr>
            <w:tcW w:type="dxa" w:w="1234"/>
          </w:tcPr>
          <w:p>
            <w:r>
              <w:rPr>
                <w:rFonts w:ascii="Calibri" w:hAnsi="Calibri"/>
                <w:sz w:val="22"/>
              </w:rPr>
              <w:t>In line with guidance</w:t>
            </w:r>
          </w:p>
        </w:tc>
      </w:tr>
      <w:tr>
        <w:tc>
          <w:tcPr>
            <w:tcW w:type="dxa" w:w="1234"/>
          </w:tcPr>
          <w:p>
            <w:r>
              <w:rPr>
                <w:rFonts w:ascii="Calibri" w:hAnsi="Calibri"/>
                <w:sz w:val="22"/>
              </w:rPr>
              <w:t>Adj. EPS (Diluted, Operating)</w:t>
            </w:r>
          </w:p>
        </w:tc>
        <w:tc>
          <w:tcPr>
            <w:tcW w:type="dxa" w:w="1234"/>
          </w:tcPr>
          <w:p>
            <w:r>
              <w:rPr>
                <w:rFonts w:ascii="Calibri" w:hAnsi="Calibri"/>
                <w:sz w:val="22"/>
              </w:rPr>
              <w:t>$1.07</w:t>
            </w:r>
          </w:p>
        </w:tc>
        <w:tc>
          <w:tcPr>
            <w:tcW w:type="dxa" w:w="1234"/>
          </w:tcPr>
          <w:p>
            <w:r>
              <w:rPr>
                <w:rFonts w:ascii="Calibri" w:hAnsi="Calibri"/>
                <w:sz w:val="22"/>
              </w:rPr>
              <w:t>$1.55</w:t>
            </w:r>
          </w:p>
        </w:tc>
        <w:tc>
          <w:tcPr>
            <w:tcW w:type="dxa" w:w="1234"/>
          </w:tcPr>
          <w:p>
            <w:r>
              <w:rPr>
                <w:rFonts w:ascii="Calibri" w:hAnsi="Calibri"/>
                <w:sz w:val="22"/>
              </w:rPr>
              <w:t>$1.66</w:t>
            </w:r>
          </w:p>
        </w:tc>
        <w:tc>
          <w:tcPr>
            <w:tcW w:type="dxa" w:w="1234"/>
          </w:tcPr>
          <w:p>
            <w:r>
              <w:rPr>
                <w:rFonts w:ascii="Calibri" w:hAnsi="Calibri"/>
                <w:sz w:val="22"/>
              </w:rPr>
              <w:t>+7.1% YoY</w:t>
            </w:r>
          </w:p>
        </w:tc>
        <w:tc>
          <w:tcPr>
            <w:tcW w:type="dxa" w:w="1234"/>
          </w:tcPr>
          <w:p>
            <w:r>
              <w:rPr>
                <w:rFonts w:ascii="Calibri" w:hAnsi="Calibri"/>
                <w:sz w:val="22"/>
              </w:rPr>
              <w:t>~Flat FY26 vs. FY25 ($7.12 FY25 actual)</w:t>
            </w:r>
          </w:p>
        </w:tc>
        <w:tc>
          <w:tcPr>
            <w:tcW w:type="dxa" w:w="1234"/>
          </w:tcPr>
          <w:p>
            <w:r>
              <w:rPr>
                <w:rFonts w:ascii="Calibri" w:hAnsi="Calibri"/>
                <w:sz w:val="22"/>
              </w:rPr>
              <w:t>Slightly above implied FY run-rate</w:t>
            </w:r>
          </w:p>
        </w:tc>
      </w:tr>
      <w:tr>
        <w:tc>
          <w:tcPr>
            <w:tcW w:type="dxa" w:w="1234"/>
          </w:tcPr>
          <w:p>
            <w:r>
              <w:rPr>
                <w:rFonts w:ascii="Calibri" w:hAnsi="Calibri"/>
                <w:sz w:val="22"/>
              </w:rPr>
              <w:t>US Domestic Operating Margin (Adj.)</w:t>
            </w:r>
          </w:p>
        </w:tc>
        <w:tc>
          <w:tcPr>
            <w:tcW w:type="dxa" w:w="1234"/>
          </w:tcPr>
          <w:p>
            <w:r>
              <w:rPr>
                <w:rFonts w:ascii="Calibri" w:hAnsi="Calibri"/>
                <w:sz w:val="22"/>
              </w:rPr>
              <w:t>4.0%</w:t>
            </w:r>
          </w:p>
        </w:tc>
        <w:tc>
          <w:tcPr>
            <w:tcW w:type="dxa" w:w="1234"/>
          </w:tcPr>
          <w:p>
            <w:r>
              <w:rPr>
                <w:rFonts w:ascii="Calibri" w:hAnsi="Calibri"/>
                <w:sz w:val="22"/>
              </w:rPr>
              <w:t>7.0%</w:t>
            </w:r>
          </w:p>
        </w:tc>
        <w:tc>
          <w:tcPr>
            <w:tcW w:type="dxa" w:w="1234"/>
          </w:tcPr>
          <w:p>
            <w:r>
              <w:rPr>
                <w:rFonts w:ascii="Calibri" w:hAnsi="Calibri"/>
                <w:sz w:val="22"/>
              </w:rPr>
              <w:t>7.8%</w:t>
            </w:r>
          </w:p>
        </w:tc>
        <w:tc>
          <w:tcPr>
            <w:tcW w:type="dxa" w:w="1234"/>
          </w:tcPr>
          <w:p>
            <w:r>
              <w:rPr>
                <w:rFonts w:ascii="Calibri" w:hAnsi="Calibri"/>
                <w:sz w:val="22"/>
              </w:rPr>
              <w:t>+80 bps YoY</w:t>
            </w:r>
          </w:p>
        </w:tc>
        <w:tc>
          <w:tcPr>
            <w:tcW w:type="dxa" w:w="1234"/>
          </w:tcPr>
          <w:p>
            <w:r>
              <w:rPr>
                <w:rFonts w:ascii="Calibri" w:hAnsi="Calibri"/>
                <w:sz w:val="22"/>
              </w:rPr>
              <w:t>7.5%–8.5% (mid: 8.0%)</w:t>
            </w:r>
          </w:p>
        </w:tc>
        <w:tc>
          <w:tcPr>
            <w:tcW w:type="dxa" w:w="1234"/>
          </w:tcPr>
          <w:p>
            <w:r>
              <w:rPr>
                <w:rFonts w:ascii="Calibri" w:hAnsi="Calibri"/>
                <w:sz w:val="22"/>
              </w:rPr>
              <w:t>−25 bps below guidance mid</w:t>
            </w:r>
          </w:p>
        </w:tc>
      </w:tr>
      <w:tr>
        <w:tc>
          <w:tcPr>
            <w:tcW w:type="dxa" w:w="1234"/>
          </w:tcPr>
          <w:p>
            <w:r>
              <w:rPr>
                <w:rFonts w:ascii="Calibri" w:hAnsi="Calibri"/>
                <w:sz w:val="22"/>
              </w:rPr>
              <w:t>International Operating Margin (Adj.)</w:t>
            </w:r>
          </w:p>
        </w:tc>
        <w:tc>
          <w:tcPr>
            <w:tcW w:type="dxa" w:w="1234"/>
          </w:tcPr>
          <w:p>
            <w:r>
              <w:rPr>
                <w:rFonts w:ascii="Calibri" w:hAnsi="Calibri"/>
                <w:sz w:val="22"/>
              </w:rPr>
              <w:t>12.1%</w:t>
            </w:r>
          </w:p>
        </w:tc>
        <w:tc>
          <w:tcPr>
            <w:tcW w:type="dxa" w:w="1234"/>
          </w:tcPr>
          <w:p>
            <w:r>
              <w:rPr>
                <w:rFonts w:ascii="Calibri" w:hAnsi="Calibri"/>
                <w:sz w:val="22"/>
              </w:rPr>
              <w:t>15.2%</w:t>
            </w:r>
          </w:p>
        </w:tc>
        <w:tc>
          <w:tcPr>
            <w:tcW w:type="dxa" w:w="1234"/>
          </w:tcPr>
          <w:p>
            <w:r>
              <w:rPr>
                <w:rFonts w:ascii="Calibri" w:hAnsi="Calibri"/>
                <w:sz w:val="22"/>
              </w:rPr>
              <w:t>13.4%</w:t>
            </w:r>
          </w:p>
        </w:tc>
        <w:tc>
          <w:tcPr>
            <w:tcW w:type="dxa" w:w="1234"/>
          </w:tcPr>
          <w:p>
            <w:r>
              <w:rPr>
                <w:rFonts w:ascii="Calibri" w:hAnsi="Calibri"/>
                <w:sz w:val="22"/>
              </w:rPr>
              <w:t>−180 bps YoY</w:t>
            </w:r>
          </w:p>
        </w:tc>
        <w:tc>
          <w:tcPr>
            <w:tcW w:type="dxa" w:w="1234"/>
          </w:tcPr>
          <w:p>
            <w:r>
              <w:rPr>
                <w:rFonts w:ascii="Calibri" w:hAnsi="Calibri"/>
                <w:sz w:val="22"/>
              </w:rPr>
              <w:t>13%–14% (mid: 13.5%)</w:t>
            </w:r>
          </w:p>
        </w:tc>
        <w:tc>
          <w:tcPr>
            <w:tcW w:type="dxa" w:w="1234"/>
          </w:tcPr>
          <w:p>
            <w:r>
              <w:rPr>
                <w:rFonts w:ascii="Calibri" w:hAnsi="Calibri"/>
                <w:sz w:val="22"/>
              </w:rPr>
              <w:t>−10 bps below guidance mid</w:t>
            </w:r>
          </w:p>
        </w:tc>
      </w:tr>
      <w:tr>
        <w:tc>
          <w:tcPr>
            <w:tcW w:type="dxa" w:w="1234"/>
          </w:tcPr>
          <w:p>
            <w:r>
              <w:rPr>
                <w:rFonts w:ascii="Calibri" w:hAnsi="Calibri"/>
                <w:sz w:val="22"/>
              </w:rPr>
              <w:t>Avg. Revenue per Piece — US Dom. ($)</w:t>
            </w:r>
          </w:p>
        </w:tc>
        <w:tc>
          <w:tcPr>
            <w:tcW w:type="dxa" w:w="1234"/>
          </w:tcPr>
          <w:p>
            <w:r>
              <w:rPr>
                <w:rFonts w:ascii="Calibri" w:hAnsi="Calibri"/>
                <w:sz w:val="22"/>
              </w:rPr>
              <w:t>$13.91</w:t>
            </w:r>
          </w:p>
        </w:tc>
        <w:tc>
          <w:tcPr>
            <w:tcW w:type="dxa" w:w="1234"/>
          </w:tcPr>
          <w:p>
            <w:r>
              <w:rPr>
                <w:rFonts w:ascii="Calibri" w:hAnsi="Calibri"/>
                <w:sz w:val="22"/>
              </w:rPr>
              <w:t>$13.03</w:t>
            </w:r>
          </w:p>
        </w:tc>
        <w:tc>
          <w:tcPr>
            <w:tcW w:type="dxa" w:w="1234"/>
          </w:tcPr>
          <w:p>
            <w:r>
              <w:rPr>
                <w:rFonts w:ascii="Calibri" w:hAnsi="Calibri"/>
                <w:sz w:val="22"/>
              </w:rPr>
              <w:t>$14.16</w:t>
            </w:r>
          </w:p>
        </w:tc>
        <w:tc>
          <w:tcPr>
            <w:tcW w:type="dxa" w:w="1234"/>
          </w:tcPr>
          <w:p>
            <w:r>
              <w:rPr>
                <w:rFonts w:ascii="Calibri" w:hAnsi="Calibri"/>
                <w:sz w:val="22"/>
              </w:rPr>
              <w:t>+8.7% YoY</w:t>
            </w:r>
          </w:p>
        </w:tc>
        <w:tc>
          <w:tcPr>
            <w:tcW w:type="dxa" w:w="1234"/>
          </w:tcPr>
          <w:p>
            <w:r>
              <w:rPr>
                <w:rFonts w:ascii="Calibri" w:hAnsi="Calibri"/>
                <w:sz w:val="22"/>
              </w:rPr>
              <w:t>Mid-single digit RPP growth FY</w:t>
            </w:r>
          </w:p>
        </w:tc>
        <w:tc>
          <w:tcPr>
            <w:tcW w:type="dxa" w:w="1234"/>
          </w:tcPr>
          <w:p>
            <w:r>
              <w:rPr>
                <w:rFonts w:ascii="Calibri" w:hAnsi="Calibri"/>
                <w:sz w:val="22"/>
              </w:rPr>
              <w:t>Above implied guidance pace</w:t>
            </w:r>
          </w:p>
        </w:tc>
      </w:tr>
      <w:tr>
        <w:tc>
          <w:tcPr>
            <w:tcW w:type="dxa" w:w="1234"/>
          </w:tcPr>
          <w:p>
            <w:r>
              <w:rPr>
                <w:rFonts w:ascii="Calibri" w:hAnsi="Calibri"/>
                <w:sz w:val="22"/>
              </w:rPr>
              <w:t>Cost per Piece — US Dom. (Adj., $)</w:t>
            </w:r>
          </w:p>
        </w:tc>
        <w:tc>
          <w:tcPr>
            <w:tcW w:type="dxa" w:w="1234"/>
          </w:tcPr>
          <w:p>
            <w:r>
              <w:rPr>
                <w:rFonts w:ascii="Calibri" w:hAnsi="Calibri"/>
                <w:sz w:val="22"/>
              </w:rPr>
              <w:t>$13.64</w:t>
            </w:r>
          </w:p>
        </w:tc>
        <w:tc>
          <w:tcPr>
            <w:tcW w:type="dxa" w:w="1234"/>
          </w:tcPr>
          <w:p>
            <w:r>
              <w:rPr>
                <w:rFonts w:ascii="Calibri" w:hAnsi="Calibri"/>
                <w:sz w:val="22"/>
              </w:rPr>
              <w:t>$12.37</w:t>
            </w:r>
          </w:p>
        </w:tc>
        <w:tc>
          <w:tcPr>
            <w:tcW w:type="dxa" w:w="1234"/>
          </w:tcPr>
          <w:p>
            <w:r>
              <w:rPr>
                <w:rFonts w:ascii="Calibri" w:hAnsi="Calibri"/>
                <w:sz w:val="22"/>
              </w:rPr>
              <w:t>$13.12</w:t>
            </w:r>
          </w:p>
        </w:tc>
        <w:tc>
          <w:tcPr>
            <w:tcW w:type="dxa" w:w="1234"/>
          </w:tcPr>
          <w:p>
            <w:r>
              <w:rPr>
                <w:rFonts w:ascii="Calibri" w:hAnsi="Calibri"/>
                <w:sz w:val="22"/>
              </w:rPr>
              <w:t>+6.1% YoY</w:t>
            </w:r>
          </w:p>
        </w:tc>
        <w:tc>
          <w:tcPr>
            <w:tcW w:type="dxa" w:w="1234"/>
          </w:tcPr>
          <w:p>
            <w:r>
              <w:rPr>
                <w:rFonts w:ascii="Calibri" w:hAnsi="Calibri"/>
                <w:sz w:val="22"/>
              </w:rPr>
              <w:t>Low-single digits in H2 2026</w:t>
            </w:r>
          </w:p>
        </w:tc>
        <w:tc>
          <w:tcPr>
            <w:tcW w:type="dxa" w:w="1234"/>
          </w:tcPr>
          <w:p>
            <w:r>
              <w:rPr>
                <w:rFonts w:ascii="Calibri" w:hAnsi="Calibri"/>
                <w:sz w:val="22"/>
              </w:rPr>
              <w:t>N/A — no explicit Q2 CPP guidance</w:t>
            </w:r>
          </w:p>
        </w:tc>
      </w:tr>
      <w:tr>
        <w:tc>
          <w:tcPr>
            <w:tcW w:type="dxa" w:w="1234"/>
          </w:tcPr>
          <w:p>
            <w:r>
              <w:rPr>
                <w:rFonts w:ascii="Calibri" w:hAnsi="Calibri"/>
                <w:sz w:val="22"/>
              </w:rPr>
              <w:t>Free Cash Flow (Company Defined)</w:t>
            </w:r>
          </w:p>
        </w:tc>
        <w:tc>
          <w:tcPr>
            <w:tcW w:type="dxa" w:w="1234"/>
          </w:tcPr>
          <w:p>
            <w:r>
              <w:rPr>
                <w:rFonts w:ascii="Calibri" w:hAnsi="Calibri"/>
                <w:sz w:val="22"/>
              </w:rPr>
              <w:t>$1.28B</w:t>
            </w:r>
          </w:p>
        </w:tc>
        <w:tc>
          <w:tcPr>
            <w:tcW w:type="dxa" w:w="1234"/>
          </w:tcPr>
          <w:p>
            <w:r>
              <w:rPr>
                <w:rFonts w:ascii="Calibri" w:hAnsi="Calibri"/>
                <w:sz w:val="22"/>
              </w:rPr>
              <w:t>−$0.75B</w:t>
            </w:r>
          </w:p>
        </w:tc>
        <w:tc>
          <w:tcPr>
            <w:tcW w:type="dxa" w:w="1234"/>
          </w:tcPr>
          <w:p>
            <w:r>
              <w:rPr>
                <w:rFonts w:ascii="Calibri" w:hAnsi="Calibri"/>
                <w:sz w:val="22"/>
              </w:rPr>
              <w:t>$0.65B</w:t>
            </w:r>
          </w:p>
        </w:tc>
        <w:tc>
          <w:tcPr>
            <w:tcW w:type="dxa" w:w="1234"/>
          </w:tcPr>
          <w:p>
            <w:r>
              <w:rPr>
                <w:rFonts w:ascii="Calibri" w:hAnsi="Calibri"/>
                <w:sz w:val="22"/>
              </w:rPr>
              <w:t>N/M (prior year negative)</w:t>
            </w:r>
          </w:p>
        </w:tc>
        <w:tc>
          <w:tcPr>
            <w:tcW w:type="dxa" w:w="1234"/>
          </w:tcPr>
          <w:p>
            <w:r>
              <w:rPr>
                <w:rFonts w:ascii="Calibri" w:hAnsi="Calibri"/>
                <w:sz w:val="22"/>
              </w:rPr>
              <w:t>~$6.5B FY 2026</w:t>
            </w:r>
          </w:p>
        </w:tc>
        <w:tc>
          <w:tcPr>
            <w:tcW w:type="dxa" w:w="1234"/>
          </w:tcPr>
          <w:p>
            <w:r>
              <w:rPr>
                <w:rFonts w:ascii="Calibri" w:hAnsi="Calibri"/>
                <w:sz w:val="22"/>
              </w:rPr>
              <w:t>N/A — quarterly FCF lumpy</w:t>
            </w:r>
          </w:p>
        </w:tc>
      </w:tr>
    </w:tbl>
    <w:p>
      <w:r>
        <w:rPr>
          <w:rFonts w:ascii="Calibri" w:hAnsi="Calibri"/>
          <w:i/>
          <w:color w:val="525866"/>
          <w:sz w:val="22"/>
        </w:rPr>
        <w:t>Sources: Visible Alpha Consensus and Actuals Data; UPS Q1 2026 Earnings Call Transcript (April 28,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U.S. Domestic Operating Margin (Adj.) | (2) Adjusted EPS (Diluted,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US Dom. Op. Margin</w:t>
            </w:r>
          </w:p>
        </w:tc>
        <w:tc>
          <w:tcPr>
            <w:tcW w:type="dxa" w:w="1440"/>
          </w:tcPr>
          <w:p>
            <w:r>
              <w:rPr>
                <w:rFonts w:ascii="Calibri" w:hAnsi="Calibri"/>
                <w:sz w:val="22"/>
              </w:rPr>
              <w:t>4.00%</w:t>
            </w:r>
          </w:p>
        </w:tc>
        <w:tc>
          <w:tcPr>
            <w:tcW w:type="dxa" w:w="1440"/>
          </w:tcPr>
          <w:p>
            <w:r>
              <w:rPr>
                <w:rFonts w:ascii="Calibri" w:hAnsi="Calibri"/>
                <w:sz w:val="22"/>
              </w:rPr>
              <w:t>4.65%</w:t>
            </w:r>
          </w:p>
        </w:tc>
        <w:tc>
          <w:tcPr>
            <w:tcW w:type="dxa" w:w="1440"/>
          </w:tcPr>
          <w:p>
            <w:r>
              <w:rPr>
                <w:rFonts w:ascii="Calibri" w:hAnsi="Calibri"/>
                <w:b/>
                <w:color w:val="E5484D"/>
                <w:sz w:val="22"/>
              </w:rPr>
              <w:t>−65 bps</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$1.07</w:t>
            </w:r>
          </w:p>
        </w:tc>
        <w:tc>
          <w:tcPr>
            <w:tcW w:type="dxa" w:w="1440"/>
          </w:tcPr>
          <w:p>
            <w:r>
              <w:rPr>
                <w:rFonts w:ascii="Calibri" w:hAnsi="Calibri"/>
                <w:sz w:val="22"/>
              </w:rPr>
              <w:t>$1.03</w:t>
            </w:r>
          </w:p>
        </w:tc>
        <w:tc>
          <w:tcPr>
            <w:tcW w:type="dxa" w:w="1440"/>
          </w:tcPr>
          <w:p>
            <w:r>
              <w:rPr>
                <w:rFonts w:ascii="Calibri" w:hAnsi="Calibri"/>
                <w:b/>
                <w:color w:val="30A46C"/>
                <w:sz w:val="22"/>
              </w:rPr>
              <w:t>+$0.04 / +3.9%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US Dom. Op. Margin</w:t>
            </w:r>
          </w:p>
        </w:tc>
        <w:tc>
          <w:tcPr>
            <w:tcW w:type="dxa" w:w="1440"/>
          </w:tcPr>
          <w:p>
            <w:r>
              <w:rPr>
                <w:rFonts w:ascii="Calibri" w:hAnsi="Calibri"/>
                <w:sz w:val="22"/>
              </w:rPr>
              <w:t>10.18%</w:t>
            </w:r>
          </w:p>
        </w:tc>
        <w:tc>
          <w:tcPr>
            <w:tcW w:type="dxa" w:w="1440"/>
          </w:tcPr>
          <w:p>
            <w:r>
              <w:rPr>
                <w:rFonts w:ascii="Calibri" w:hAnsi="Calibri"/>
                <w:sz w:val="22"/>
              </w:rPr>
              <w:t>9.66%</w:t>
            </w:r>
          </w:p>
        </w:tc>
        <w:tc>
          <w:tcPr>
            <w:tcW w:type="dxa" w:w="1440"/>
          </w:tcPr>
          <w:p>
            <w:r>
              <w:rPr>
                <w:rFonts w:ascii="Calibri" w:hAnsi="Calibri"/>
                <w:b/>
                <w:color w:val="30A46C"/>
                <w:sz w:val="22"/>
              </w:rPr>
              <w:t>+52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$2.38</w:t>
            </w:r>
          </w:p>
        </w:tc>
        <w:tc>
          <w:tcPr>
            <w:tcW w:type="dxa" w:w="1440"/>
          </w:tcPr>
          <w:p>
            <w:r>
              <w:rPr>
                <w:rFonts w:ascii="Calibri" w:hAnsi="Calibri"/>
                <w:sz w:val="22"/>
              </w:rPr>
              <w:t>$2.22</w:t>
            </w:r>
          </w:p>
        </w:tc>
        <w:tc>
          <w:tcPr>
            <w:tcW w:type="dxa" w:w="1440"/>
          </w:tcPr>
          <w:p>
            <w:r>
              <w:rPr>
                <w:rFonts w:ascii="Calibri" w:hAnsi="Calibri"/>
                <w:b/>
                <w:color w:val="30A46C"/>
                <w:sz w:val="22"/>
              </w:rPr>
              <w:t>+$0.16 / +7.2%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US Dom. Op. Margin</w:t>
            </w:r>
          </w:p>
        </w:tc>
        <w:tc>
          <w:tcPr>
            <w:tcW w:type="dxa" w:w="1440"/>
          </w:tcPr>
          <w:p>
            <w:r>
              <w:rPr>
                <w:rFonts w:ascii="Calibri" w:hAnsi="Calibri"/>
                <w:sz w:val="22"/>
              </w:rPr>
              <w:t>6.36%</w:t>
            </w:r>
          </w:p>
        </w:tc>
        <w:tc>
          <w:tcPr>
            <w:tcW w:type="dxa" w:w="1440"/>
          </w:tcPr>
          <w:p>
            <w:r>
              <w:rPr>
                <w:rFonts w:ascii="Calibri" w:hAnsi="Calibri"/>
                <w:sz w:val="22"/>
              </w:rPr>
              <w:t>5.37%</w:t>
            </w:r>
          </w:p>
        </w:tc>
        <w:tc>
          <w:tcPr>
            <w:tcW w:type="dxa" w:w="1440"/>
          </w:tcPr>
          <w:p>
            <w:r>
              <w:rPr>
                <w:rFonts w:ascii="Calibri" w:hAnsi="Calibri"/>
                <w:b/>
                <w:color w:val="30A46C"/>
                <w:sz w:val="22"/>
              </w:rPr>
              <w:t>+99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$1.74</w:t>
            </w:r>
          </w:p>
        </w:tc>
        <w:tc>
          <w:tcPr>
            <w:tcW w:type="dxa" w:w="1440"/>
          </w:tcPr>
          <w:p>
            <w:r>
              <w:rPr>
                <w:rFonts w:ascii="Calibri" w:hAnsi="Calibri"/>
                <w:sz w:val="22"/>
              </w:rPr>
              <w:t>$1.31</w:t>
            </w:r>
          </w:p>
        </w:tc>
        <w:tc>
          <w:tcPr>
            <w:tcW w:type="dxa" w:w="1440"/>
          </w:tcPr>
          <w:p>
            <w:r>
              <w:rPr>
                <w:rFonts w:ascii="Calibri" w:hAnsi="Calibri"/>
                <w:b/>
                <w:color w:val="30A46C"/>
                <w:sz w:val="22"/>
              </w:rPr>
              <w:t>+$0.43 / +32.8%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US Dom. Op. Margin</w:t>
            </w:r>
          </w:p>
        </w:tc>
        <w:tc>
          <w:tcPr>
            <w:tcW w:type="dxa" w:w="1440"/>
          </w:tcPr>
          <w:p>
            <w:r>
              <w:rPr>
                <w:rFonts w:ascii="Calibri" w:hAnsi="Calibri"/>
                <w:sz w:val="22"/>
              </w:rPr>
              <w:t>6.97%</w:t>
            </w:r>
          </w:p>
        </w:tc>
        <w:tc>
          <w:tcPr>
            <w:tcW w:type="dxa" w:w="1440"/>
          </w:tcPr>
          <w:p>
            <w:r>
              <w:rPr>
                <w:rFonts w:ascii="Calibri" w:hAnsi="Calibri"/>
                <w:sz w:val="22"/>
              </w:rPr>
              <w:t>7.33%</w:t>
            </w:r>
          </w:p>
        </w:tc>
        <w:tc>
          <w:tcPr>
            <w:tcW w:type="dxa" w:w="1440"/>
          </w:tcPr>
          <w:p>
            <w:r>
              <w:rPr>
                <w:rFonts w:ascii="Calibri" w:hAnsi="Calibri"/>
                <w:b/>
                <w:color w:val="E5484D"/>
                <w:sz w:val="22"/>
              </w:rPr>
              <w:t>−36 bps</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$1.57</w:t>
            </w:r>
          </w:p>
        </w:tc>
        <w:tc>
          <w:tcPr>
            <w:tcW w:type="dxa" w:w="1440"/>
          </w:tcPr>
          <w:p>
            <w:r>
              <w:rPr>
                <w:rFonts w:ascii="Calibri" w:hAnsi="Calibri"/>
                <w:b/>
                <w:color w:val="E5484D"/>
                <w:sz w:val="22"/>
              </w:rPr>
              <w:t>−$0.02 / −1.3%</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US Dom. Op. Margin</w:t>
            </w:r>
          </w:p>
        </w:tc>
        <w:tc>
          <w:tcPr>
            <w:tcW w:type="dxa" w:w="1440"/>
          </w:tcPr>
          <w:p>
            <w:r>
              <w:rPr>
                <w:rFonts w:ascii="Calibri" w:hAnsi="Calibri"/>
                <w:sz w:val="22"/>
              </w:rPr>
              <w:t>6.99%</w:t>
            </w:r>
          </w:p>
        </w:tc>
        <w:tc>
          <w:tcPr>
            <w:tcW w:type="dxa" w:w="1440"/>
          </w:tcPr>
          <w:p>
            <w:r>
              <w:rPr>
                <w:rFonts w:ascii="Calibri" w:hAnsi="Calibri"/>
                <w:sz w:val="22"/>
              </w:rPr>
              <w:t>6.80%</w:t>
            </w:r>
          </w:p>
        </w:tc>
        <w:tc>
          <w:tcPr>
            <w:tcW w:type="dxa" w:w="1440"/>
          </w:tcPr>
          <w:p>
            <w:r>
              <w:rPr>
                <w:rFonts w:ascii="Calibri" w:hAnsi="Calibri"/>
                <w:b/>
                <w:color w:val="30A46C"/>
                <w:sz w:val="22"/>
              </w:rPr>
              <w:t>+19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$1.49</w:t>
            </w:r>
          </w:p>
        </w:tc>
        <w:tc>
          <w:tcPr>
            <w:tcW w:type="dxa" w:w="1440"/>
          </w:tcPr>
          <w:p>
            <w:r>
              <w:rPr>
                <w:rFonts w:ascii="Calibri" w:hAnsi="Calibri"/>
                <w:sz w:val="22"/>
              </w:rPr>
              <w:t>$1.41</w:t>
            </w:r>
          </w:p>
        </w:tc>
        <w:tc>
          <w:tcPr>
            <w:tcW w:type="dxa" w:w="1440"/>
          </w:tcPr>
          <w:p>
            <w:r>
              <w:rPr>
                <w:rFonts w:ascii="Calibri" w:hAnsi="Calibri"/>
                <w:b/>
                <w:color w:val="30A46C"/>
                <w:sz w:val="22"/>
              </w:rPr>
              <w:t>+$0.08 / +5.7%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US Dom. Op. Margin</w:t>
            </w:r>
          </w:p>
        </w:tc>
        <w:tc>
          <w:tcPr>
            <w:tcW w:type="dxa" w:w="1440"/>
          </w:tcPr>
          <w:p>
            <w:r>
              <w:rPr>
                <w:rFonts w:ascii="Calibri" w:hAnsi="Calibri"/>
                <w:sz w:val="22"/>
              </w:rPr>
              <w:t>10.13%</w:t>
            </w:r>
          </w:p>
        </w:tc>
        <w:tc>
          <w:tcPr>
            <w:tcW w:type="dxa" w:w="1440"/>
          </w:tcPr>
          <w:p>
            <w:r>
              <w:rPr>
                <w:rFonts w:ascii="Calibri" w:hAnsi="Calibri"/>
                <w:sz w:val="22"/>
              </w:rPr>
              <w:t>9.51%</w:t>
            </w:r>
          </w:p>
        </w:tc>
        <w:tc>
          <w:tcPr>
            <w:tcW w:type="dxa" w:w="1440"/>
          </w:tcPr>
          <w:p>
            <w:r>
              <w:rPr>
                <w:rFonts w:ascii="Calibri" w:hAnsi="Calibri"/>
                <w:b/>
                <w:color w:val="30A46C"/>
                <w:sz w:val="22"/>
              </w:rPr>
              <w:t>+62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$2.75</w:t>
            </w:r>
          </w:p>
        </w:tc>
        <w:tc>
          <w:tcPr>
            <w:tcW w:type="dxa" w:w="1440"/>
          </w:tcPr>
          <w:p>
            <w:r>
              <w:rPr>
                <w:rFonts w:ascii="Calibri" w:hAnsi="Calibri"/>
                <w:sz w:val="22"/>
              </w:rPr>
              <w:t>$2.51</w:t>
            </w:r>
          </w:p>
        </w:tc>
        <w:tc>
          <w:tcPr>
            <w:tcW w:type="dxa" w:w="1440"/>
          </w:tcPr>
          <w:p>
            <w:r>
              <w:rPr>
                <w:rFonts w:ascii="Calibri" w:hAnsi="Calibri"/>
                <w:b/>
                <w:color w:val="30A46C"/>
                <w:sz w:val="22"/>
              </w:rPr>
              <w:t>+$0.24 / +9.6%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US Dom. Op. Margin</w:t>
            </w:r>
          </w:p>
        </w:tc>
        <w:tc>
          <w:tcPr>
            <w:tcW w:type="dxa" w:w="1440"/>
          </w:tcPr>
          <w:p>
            <w:r>
              <w:rPr>
                <w:rFonts w:ascii="Calibri" w:hAnsi="Calibri"/>
                <w:sz w:val="22"/>
              </w:rPr>
              <w:t>6.30%</w:t>
            </w:r>
          </w:p>
        </w:tc>
        <w:tc>
          <w:tcPr>
            <w:tcW w:type="dxa" w:w="1440"/>
          </w:tcPr>
          <w:p>
            <w:r>
              <w:rPr>
                <w:rFonts w:ascii="Calibri" w:hAnsi="Calibri"/>
                <w:sz w:val="22"/>
              </w:rPr>
              <w:t>5.55%</w:t>
            </w:r>
          </w:p>
        </w:tc>
        <w:tc>
          <w:tcPr>
            <w:tcW w:type="dxa" w:w="1440"/>
          </w:tcPr>
          <w:p>
            <w:r>
              <w:rPr>
                <w:rFonts w:ascii="Calibri" w:hAnsi="Calibri"/>
                <w:b/>
                <w:color w:val="30A46C"/>
                <w:sz w:val="22"/>
              </w:rPr>
              <w:t>+75 bps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$1.76</w:t>
            </w:r>
          </w:p>
        </w:tc>
        <w:tc>
          <w:tcPr>
            <w:tcW w:type="dxa" w:w="1440"/>
          </w:tcPr>
          <w:p>
            <w:r>
              <w:rPr>
                <w:rFonts w:ascii="Calibri" w:hAnsi="Calibri"/>
                <w:sz w:val="22"/>
              </w:rPr>
              <w:t>$1.61</w:t>
            </w:r>
          </w:p>
        </w:tc>
        <w:tc>
          <w:tcPr>
            <w:tcW w:type="dxa" w:w="1440"/>
          </w:tcPr>
          <w:p>
            <w:r>
              <w:rPr>
                <w:rFonts w:ascii="Calibri" w:hAnsi="Calibri"/>
                <w:b/>
                <w:color w:val="30A46C"/>
                <w:sz w:val="22"/>
              </w:rPr>
              <w:t>+$0.15 / +9.3%</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US Dom. Op. Margin</w:t>
            </w:r>
          </w:p>
        </w:tc>
        <w:tc>
          <w:tcPr>
            <w:tcW w:type="dxa" w:w="1440"/>
          </w:tcPr>
          <w:p>
            <w:r>
              <w:rPr>
                <w:rFonts w:ascii="Calibri" w:hAnsi="Calibri"/>
                <w:sz w:val="22"/>
              </w:rPr>
              <w:t>7.01%</w:t>
            </w:r>
          </w:p>
        </w:tc>
        <w:tc>
          <w:tcPr>
            <w:tcW w:type="dxa" w:w="1440"/>
          </w:tcPr>
          <w:p>
            <w:r>
              <w:rPr>
                <w:rFonts w:ascii="Calibri" w:hAnsi="Calibri"/>
                <w:sz w:val="22"/>
              </w:rPr>
              <w:t>8.21%</w:t>
            </w:r>
          </w:p>
        </w:tc>
        <w:tc>
          <w:tcPr>
            <w:tcW w:type="dxa" w:w="1440"/>
          </w:tcPr>
          <w:p>
            <w:r>
              <w:rPr>
                <w:rFonts w:ascii="Calibri" w:hAnsi="Calibri"/>
                <w:b/>
                <w:color w:val="E5484D"/>
                <w:sz w:val="22"/>
              </w:rPr>
              <w:t>−120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$1.79</w:t>
            </w:r>
          </w:p>
        </w:tc>
        <w:tc>
          <w:tcPr>
            <w:tcW w:type="dxa" w:w="1440"/>
          </w:tcPr>
          <w:p>
            <w:r>
              <w:rPr>
                <w:rFonts w:ascii="Calibri" w:hAnsi="Calibri"/>
                <w:sz w:val="22"/>
              </w:rPr>
              <w:t>$1.98</w:t>
            </w:r>
          </w:p>
        </w:tc>
        <w:tc>
          <w:tcPr>
            <w:tcW w:type="dxa" w:w="1440"/>
          </w:tcPr>
          <w:p>
            <w:r>
              <w:rPr>
                <w:rFonts w:ascii="Calibri" w:hAnsi="Calibri"/>
                <w:b/>
                <w:color w:val="E5484D"/>
                <w:sz w:val="22"/>
              </w:rPr>
              <w:t>−$0.19 / −9.6%</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UPS has beaten on Adj. EPS in 6 of the last 8 quarters, but U.S. Domestic operating margin has been more volatile — beating in 5 of 8 quarters, with misses concentrated in Q2 periods (Q2 2024, Q2 2025) and Q1 2026 (one-time cost pressures). The Q2 seasonal pattern has historically been the weakest beat-rate quarter for domestic margin, making the 7.5%–8.5% guidance range the key test.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management reaffirmed all full-year targets and provided explicit Q2 segment guidance. Tone has shifted </w:t>
      </w:r>
      <w:r>
        <w:rPr>
          <w:rFonts w:ascii="Calibri" w:hAnsi="Calibri"/>
          <w:b/>
          <w:color w:val="525866"/>
          <w:sz w:val="22"/>
        </w:rPr>
        <w:t>more confident</w:t>
      </w:r>
      <w:r>
        <w:rPr>
          <w:rFonts w:ascii="Calibri" w:hAnsi="Calibri"/>
          <w:color w:val="525866"/>
          <w:sz w:val="22"/>
        </w:rPr>
        <w:t>: management stated April results were already tracking ahead of plan and that the underlying business is performing better than expected, though they declined to raise guidance citing early-year macro uncertainty.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~$89.7B</w:t>
            </w:r>
          </w:p>
        </w:tc>
        <w:tc>
          <w:tcPr>
            <w:tcW w:type="dxa" w:w="1728"/>
          </w:tcPr>
          <w:p>
            <w:r>
              <w:rPr>
                <w:rFonts w:ascii="Calibri" w:hAnsi="Calibri"/>
                <w:sz w:val="22"/>
              </w:rPr>
              <w:t>—</w:t>
            </w:r>
          </w:p>
        </w:tc>
        <w:tc>
          <w:tcPr>
            <w:tcW w:type="dxa" w:w="1728"/>
          </w:tcPr>
          <w:p>
            <w:r>
              <w:rPr>
                <w:rFonts w:ascii="Calibri" w:hAnsi="Calibri"/>
                <w:sz w:val="22"/>
              </w:rPr>
              <w:t>$90.4B</w:t>
            </w:r>
          </w:p>
        </w:tc>
        <w:tc>
          <w:tcPr>
            <w:tcW w:type="dxa" w:w="1728"/>
          </w:tcPr>
          <w:p>
            <w:r>
              <w:rPr>
                <w:rFonts w:ascii="Calibri" w:hAnsi="Calibri"/>
                <w:sz w:val="22"/>
              </w:rPr>
              <w:t>Unchanged; consensus slightly above guidance</w:t>
            </w:r>
          </w:p>
        </w:tc>
      </w:tr>
      <w:tr>
        <w:tc>
          <w:tcPr>
            <w:tcW w:type="dxa" w:w="1728"/>
          </w:tcPr>
          <w:p>
            <w:r>
              <w:rPr>
                <w:rFonts w:ascii="Calibri" w:hAnsi="Calibri"/>
                <w:sz w:val="22"/>
              </w:rPr>
              <w:t>FY 2026 Consolidated Op. Margin</w:t>
            </w:r>
          </w:p>
        </w:tc>
        <w:tc>
          <w:tcPr>
            <w:tcW w:type="dxa" w:w="1728"/>
          </w:tcPr>
          <w:p>
            <w:r>
              <w:rPr>
                <w:rFonts w:ascii="Calibri" w:hAnsi="Calibri"/>
                <w:sz w:val="22"/>
              </w:rPr>
              <w:t>~9.6%</w:t>
            </w:r>
          </w:p>
        </w:tc>
        <w:tc>
          <w:tcPr>
            <w:tcW w:type="dxa" w:w="1728"/>
          </w:tcPr>
          <w:p>
            <w:r>
              <w:rPr>
                <w:rFonts w:ascii="Calibri" w:hAnsi="Calibri"/>
                <w:sz w:val="22"/>
              </w:rPr>
              <w:t>—</w:t>
            </w:r>
          </w:p>
        </w:tc>
        <w:tc>
          <w:tcPr>
            <w:tcW w:type="dxa" w:w="1728"/>
          </w:tcPr>
          <w:p>
            <w:r>
              <w:rPr>
                <w:rFonts w:ascii="Calibri" w:hAnsi="Calibri"/>
                <w:sz w:val="22"/>
              </w:rPr>
              <w:t>9.5%</w:t>
            </w:r>
          </w:p>
        </w:tc>
        <w:tc>
          <w:tcPr>
            <w:tcW w:type="dxa" w:w="1728"/>
          </w:tcPr>
          <w:p>
            <w:r>
              <w:rPr>
                <w:rFonts w:ascii="Calibri" w:hAnsi="Calibri"/>
                <w:sz w:val="22"/>
              </w:rPr>
              <w:t>Unchanged; consensus in line</w:t>
            </w:r>
          </w:p>
        </w:tc>
      </w:tr>
      <w:tr>
        <w:tc>
          <w:tcPr>
            <w:tcW w:type="dxa" w:w="1728"/>
          </w:tcPr>
          <w:p>
            <w:r>
              <w:rPr>
                <w:rFonts w:ascii="Calibri" w:hAnsi="Calibri"/>
                <w:sz w:val="22"/>
              </w:rPr>
              <w:t>FY 2026 Adj. EPS</w:t>
            </w:r>
          </w:p>
        </w:tc>
        <w:tc>
          <w:tcPr>
            <w:tcW w:type="dxa" w:w="1728"/>
          </w:tcPr>
          <w:p>
            <w:r>
              <w:rPr>
                <w:rFonts w:ascii="Calibri" w:hAnsi="Calibri"/>
                <w:sz w:val="22"/>
              </w:rPr>
              <w:t>~Flat to FY25 (~$7.12)</w:t>
            </w:r>
          </w:p>
        </w:tc>
        <w:tc>
          <w:tcPr>
            <w:tcW w:type="dxa" w:w="1728"/>
          </w:tcPr>
          <w:p>
            <w:r>
              <w:rPr>
                <w:rFonts w:ascii="Calibri" w:hAnsi="Calibri"/>
                <w:sz w:val="22"/>
              </w:rPr>
              <w:t>—</w:t>
            </w:r>
          </w:p>
        </w:tc>
        <w:tc>
          <w:tcPr>
            <w:tcW w:type="dxa" w:w="1728"/>
          </w:tcPr>
          <w:p>
            <w:r>
              <w:rPr>
                <w:rFonts w:ascii="Calibri" w:hAnsi="Calibri"/>
                <w:sz w:val="22"/>
              </w:rPr>
              <w:t>$7.12</w:t>
            </w:r>
          </w:p>
        </w:tc>
        <w:tc>
          <w:tcPr>
            <w:tcW w:type="dxa" w:w="1728"/>
          </w:tcPr>
          <w:p>
            <w:r>
              <w:rPr>
                <w:rFonts w:ascii="Calibri" w:hAnsi="Calibri"/>
                <w:sz w:val="22"/>
              </w:rPr>
              <w:t>Unchanged; consensus at guidance midpoint</w:t>
            </w:r>
          </w:p>
        </w:tc>
      </w:tr>
      <w:tr>
        <w:tc>
          <w:tcPr>
            <w:tcW w:type="dxa" w:w="1728"/>
          </w:tcPr>
          <w:p>
            <w:r>
              <w:rPr>
                <w:rFonts w:ascii="Calibri" w:hAnsi="Calibri"/>
                <w:sz w:val="22"/>
              </w:rPr>
              <w:t>FY 2026 Free Cash Flow</w:t>
            </w:r>
          </w:p>
        </w:tc>
        <w:tc>
          <w:tcPr>
            <w:tcW w:type="dxa" w:w="1728"/>
          </w:tcPr>
          <w:p>
            <w:r>
              <w:rPr>
                <w:rFonts w:ascii="Calibri" w:hAnsi="Calibri"/>
                <w:sz w:val="22"/>
              </w:rPr>
              <w:t>~$6.5B</w:t>
            </w:r>
          </w:p>
        </w:tc>
        <w:tc>
          <w:tcPr>
            <w:tcW w:type="dxa" w:w="1728"/>
          </w:tcPr>
          <w:p>
            <w:r>
              <w:rPr>
                <w:rFonts w:ascii="Calibri" w:hAnsi="Calibri"/>
                <w:sz w:val="22"/>
              </w:rPr>
              <w:t>—</w:t>
            </w:r>
          </w:p>
        </w:tc>
        <w:tc>
          <w:tcPr>
            <w:tcW w:type="dxa" w:w="1728"/>
          </w:tcPr>
          <w:p>
            <w:r>
              <w:rPr>
                <w:rFonts w:ascii="Calibri" w:hAnsi="Calibri"/>
                <w:sz w:val="22"/>
              </w:rPr>
              <w:t>$5.5B</w:t>
            </w:r>
          </w:p>
        </w:tc>
        <w:tc>
          <w:tcPr>
            <w:tcW w:type="dxa" w:w="1728"/>
          </w:tcPr>
          <w:p>
            <w:r>
              <w:rPr>
                <w:rFonts w:ascii="Calibri" w:hAnsi="Calibri"/>
                <w:sz w:val="22"/>
              </w:rPr>
              <w:t>Unchanged; consensus below guidance</w:t>
            </w:r>
          </w:p>
        </w:tc>
      </w:tr>
      <w:tr>
        <w:tc>
          <w:tcPr>
            <w:tcW w:type="dxa" w:w="1728"/>
          </w:tcPr>
          <w:p>
            <w:r>
              <w:rPr>
                <w:rFonts w:ascii="Calibri" w:hAnsi="Calibri"/>
                <w:sz w:val="22"/>
              </w:rPr>
              <w:t>Q2 2026 US Dom. Revenue</w:t>
            </w:r>
          </w:p>
        </w:tc>
        <w:tc>
          <w:tcPr>
            <w:tcW w:type="dxa" w:w="1728"/>
          </w:tcPr>
          <w:p>
            <w:r>
              <w:rPr>
                <w:rFonts w:ascii="Calibri" w:hAnsi="Calibri"/>
                <w:sz w:val="22"/>
              </w:rPr>
              <w:t>Up low-single digits YoY</w:t>
            </w:r>
          </w:p>
        </w:tc>
        <w:tc>
          <w:tcPr>
            <w:tcW w:type="dxa" w:w="1728"/>
          </w:tcPr>
          <w:p>
            <w:r>
              <w:rPr>
                <w:rFonts w:ascii="Calibri" w:hAnsi="Calibri"/>
                <w:sz w:val="22"/>
              </w:rPr>
              <w:t>—</w:t>
            </w:r>
          </w:p>
        </w:tc>
        <w:tc>
          <w:tcPr>
            <w:tcW w:type="dxa" w:w="1728"/>
          </w:tcPr>
          <w:p>
            <w:r>
              <w:rPr>
                <w:rFonts w:ascii="Calibri" w:hAnsi="Calibri"/>
                <w:sz w:val="22"/>
              </w:rPr>
              <w:t>$14.4B (+2.3% YoY)</w:t>
            </w:r>
          </w:p>
        </w:tc>
        <w:tc>
          <w:tcPr>
            <w:tcW w:type="dxa" w:w="1728"/>
          </w:tcPr>
          <w:p>
            <w:r>
              <w:rPr>
                <w:rFonts w:ascii="Calibri" w:hAnsi="Calibri"/>
                <w:sz w:val="22"/>
              </w:rPr>
              <w:t>In line with guidance</w:t>
            </w:r>
          </w:p>
        </w:tc>
      </w:tr>
      <w:tr>
        <w:tc>
          <w:tcPr>
            <w:tcW w:type="dxa" w:w="1728"/>
          </w:tcPr>
          <w:p>
            <w:r>
              <w:rPr>
                <w:rFonts w:ascii="Calibri" w:hAnsi="Calibri"/>
                <w:sz w:val="22"/>
              </w:rPr>
              <w:t>Q2 2026 US Dom. Op. Margin</w:t>
            </w:r>
          </w:p>
        </w:tc>
        <w:tc>
          <w:tcPr>
            <w:tcW w:type="dxa" w:w="1728"/>
          </w:tcPr>
          <w:p>
            <w:r>
              <w:rPr>
                <w:rFonts w:ascii="Calibri" w:hAnsi="Calibri"/>
                <w:sz w:val="22"/>
              </w:rPr>
              <w:t>7.5%–8.5% (mid: 8.0%)</w:t>
            </w:r>
          </w:p>
        </w:tc>
        <w:tc>
          <w:tcPr>
            <w:tcW w:type="dxa" w:w="1728"/>
          </w:tcPr>
          <w:p>
            <w:r>
              <w:rPr>
                <w:rFonts w:ascii="Calibri" w:hAnsi="Calibri"/>
                <w:sz w:val="22"/>
              </w:rPr>
              <w:t>—</w:t>
            </w:r>
          </w:p>
        </w:tc>
        <w:tc>
          <w:tcPr>
            <w:tcW w:type="dxa" w:w="1728"/>
          </w:tcPr>
          <w:p>
            <w:r>
              <w:rPr>
                <w:rFonts w:ascii="Calibri" w:hAnsi="Calibri"/>
                <w:sz w:val="22"/>
              </w:rPr>
              <w:t>7.8%</w:t>
            </w:r>
          </w:p>
        </w:tc>
        <w:tc>
          <w:tcPr>
            <w:tcW w:type="dxa" w:w="1728"/>
          </w:tcPr>
          <w:p>
            <w:r>
              <w:rPr>
                <w:rFonts w:ascii="Calibri" w:hAnsi="Calibri"/>
                <w:sz w:val="22"/>
              </w:rPr>
              <w:t>Consensus ~25 bps below guidance midpoint; upside if cost-out accelerates</w:t>
            </w:r>
          </w:p>
        </w:tc>
      </w:tr>
      <w:tr>
        <w:tc>
          <w:tcPr>
            <w:tcW w:type="dxa" w:w="1728"/>
          </w:tcPr>
          <w:p>
            <w:r>
              <w:rPr>
                <w:rFonts w:ascii="Calibri" w:hAnsi="Calibri"/>
                <w:sz w:val="22"/>
              </w:rPr>
              <w:t>Q2 2026 Intl. Revenue</w:t>
            </w:r>
          </w:p>
        </w:tc>
        <w:tc>
          <w:tcPr>
            <w:tcW w:type="dxa" w:w="1728"/>
          </w:tcPr>
          <w:p>
            <w:r>
              <w:rPr>
                <w:rFonts w:ascii="Calibri" w:hAnsi="Calibri"/>
                <w:sz w:val="22"/>
              </w:rPr>
              <w:t>Low-single digit growth YoY</w:t>
            </w:r>
          </w:p>
        </w:tc>
        <w:tc>
          <w:tcPr>
            <w:tcW w:type="dxa" w:w="1728"/>
          </w:tcPr>
          <w:p>
            <w:r>
              <w:rPr>
                <w:rFonts w:ascii="Calibri" w:hAnsi="Calibri"/>
                <w:sz w:val="22"/>
              </w:rPr>
              <w:t>—</w:t>
            </w:r>
          </w:p>
        </w:tc>
        <w:tc>
          <w:tcPr>
            <w:tcW w:type="dxa" w:w="1728"/>
          </w:tcPr>
          <w:p>
            <w:r>
              <w:rPr>
                <w:rFonts w:ascii="Calibri" w:hAnsi="Calibri"/>
                <w:sz w:val="22"/>
              </w:rPr>
              <w:t>$4.7B (+4.5% YoY)</w:t>
            </w:r>
          </w:p>
        </w:tc>
        <w:tc>
          <w:tcPr>
            <w:tcW w:type="dxa" w:w="1728"/>
          </w:tcPr>
          <w:p>
            <w:r>
              <w:rPr>
                <w:rFonts w:ascii="Calibri" w:hAnsi="Calibri"/>
                <w:sz w:val="22"/>
              </w:rPr>
              <w:t>In line with guidance</w:t>
            </w:r>
          </w:p>
        </w:tc>
      </w:tr>
      <w:tr>
        <w:tc>
          <w:tcPr>
            <w:tcW w:type="dxa" w:w="1728"/>
          </w:tcPr>
          <w:p>
            <w:r>
              <w:rPr>
                <w:rFonts w:ascii="Calibri" w:hAnsi="Calibri"/>
                <w:sz w:val="22"/>
              </w:rPr>
              <w:t>Q2 2026 Intl. Op. Margin</w:t>
            </w:r>
          </w:p>
        </w:tc>
        <w:tc>
          <w:tcPr>
            <w:tcW w:type="dxa" w:w="1728"/>
          </w:tcPr>
          <w:p>
            <w:r>
              <w:rPr>
                <w:rFonts w:ascii="Calibri" w:hAnsi="Calibri"/>
                <w:sz w:val="22"/>
              </w:rPr>
              <w:t>13%–14% (mid: 13.5%)</w:t>
            </w:r>
          </w:p>
        </w:tc>
        <w:tc>
          <w:tcPr>
            <w:tcW w:type="dxa" w:w="1728"/>
          </w:tcPr>
          <w:p>
            <w:r>
              <w:rPr>
                <w:rFonts w:ascii="Calibri" w:hAnsi="Calibri"/>
                <w:sz w:val="22"/>
              </w:rPr>
              <w:t>—</w:t>
            </w:r>
          </w:p>
        </w:tc>
        <w:tc>
          <w:tcPr>
            <w:tcW w:type="dxa" w:w="1728"/>
          </w:tcPr>
          <w:p>
            <w:r>
              <w:rPr>
                <w:rFonts w:ascii="Calibri" w:hAnsi="Calibri"/>
                <w:sz w:val="22"/>
              </w:rPr>
              <w:t>13.4%</w:t>
            </w:r>
          </w:p>
        </w:tc>
        <w:tc>
          <w:tcPr>
            <w:tcW w:type="dxa" w:w="1728"/>
          </w:tcPr>
          <w:p>
            <w:r>
              <w:rPr>
                <w:rFonts w:ascii="Calibri" w:hAnsi="Calibri"/>
                <w:sz w:val="22"/>
              </w:rPr>
              <w:t>Consensus ~10 bps below guidance midpoint; in line</w:t>
            </w:r>
          </w:p>
        </w:tc>
      </w:tr>
      <w:tr>
        <w:tc>
          <w:tcPr>
            <w:tcW w:type="dxa" w:w="1728"/>
          </w:tcPr>
          <w:p>
            <w:r>
              <w:rPr>
                <w:rFonts w:ascii="Calibri" w:hAnsi="Calibri"/>
                <w:sz w:val="22"/>
              </w:rPr>
              <w:t>Q2 2026 SCS Op. Margin</w:t>
            </w:r>
          </w:p>
        </w:tc>
        <w:tc>
          <w:tcPr>
            <w:tcW w:type="dxa" w:w="1728"/>
          </w:tcPr>
          <w:p>
            <w:r>
              <w:rPr>
                <w:rFonts w:ascii="Calibri" w:hAnsi="Calibri"/>
                <w:sz w:val="22"/>
              </w:rPr>
              <w:t>9.5%–10.5% (mid: 10.0%)</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Q1 SCS margin was 8.1%, sequential improvement expected</w:t>
            </w:r>
          </w:p>
        </w:tc>
      </w:tr>
      <w:tr>
        <w:tc>
          <w:tcPr>
            <w:tcW w:type="dxa" w:w="1728"/>
          </w:tcPr>
          <w:p>
            <w:r>
              <w:rPr>
                <w:rFonts w:ascii="Calibri" w:hAnsi="Calibri"/>
                <w:sz w:val="22"/>
              </w:rPr>
              <w:t>FY 2026 Cost-Out Target</w:t>
            </w:r>
          </w:p>
        </w:tc>
        <w:tc>
          <w:tcPr>
            <w:tcW w:type="dxa" w:w="1728"/>
          </w:tcPr>
          <w:p>
            <w:r>
              <w:rPr>
                <w:rFonts w:ascii="Calibri" w:hAnsi="Calibri"/>
                <w:sz w:val="22"/>
              </w:rPr>
              <w:t>$3.0B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Firmly on track per management; Driver Choice program 77% complete in April</w:t>
            </w:r>
          </w:p>
        </w:tc>
      </w:tr>
    </w:tbl>
    <w:p>
      <w:r>
        <w:rPr>
          <w:rFonts w:ascii="Calibri" w:hAnsi="Calibri"/>
          <w:i/>
          <w:color w:val="525866"/>
          <w:sz w:val="22"/>
        </w:rPr>
        <w:t>Source: UPS Q1 2026 Earnings Call Transcript (April 28,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Q2 2026 EPS consensus rose from $1.63 to $1.66 and FY 2026 EPS from $7.11 to $7.12, tracking in line with guidance rather than diverging. The gap between consensus and guidance midpoints is narrow, suggesting the Street is not pricing in a significant beat or miss — a clean setup where execution on domestic margin is the key variable.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$21.65B</w:t>
            </w:r>
          </w:p>
        </w:tc>
        <w:tc>
          <w:tcPr>
            <w:tcW w:type="dxa" w:w="1080"/>
          </w:tcPr>
          <w:p>
            <w:r>
              <w:rPr>
                <w:rFonts w:ascii="Calibri" w:hAnsi="Calibri"/>
                <w:sz w:val="22"/>
              </w:rPr>
              <w:t>$21.87B</w:t>
            </w:r>
          </w:p>
        </w:tc>
        <w:tc>
          <w:tcPr>
            <w:tcW w:type="dxa" w:w="1080"/>
          </w:tcPr>
          <w:p>
            <w:r>
              <w:rPr>
                <w:rFonts w:ascii="Calibri" w:hAnsi="Calibri"/>
                <w:b/>
                <w:color w:val="30A46C"/>
                <w:sz w:val="22"/>
              </w:rPr>
              <w:t>+1.0%</w:t>
            </w:r>
          </w:p>
        </w:tc>
        <w:tc>
          <w:tcPr>
            <w:tcW w:type="dxa" w:w="1080"/>
          </w:tcPr>
          <w:p>
            <w:r>
              <w:rPr>
                <w:rFonts w:ascii="Calibri" w:hAnsi="Calibri"/>
                <w:sz w:val="22"/>
              </w:rPr>
              <w:t>Low-SD growth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(Q2 2026)</w:t>
            </w:r>
          </w:p>
        </w:tc>
        <w:tc>
          <w:tcPr>
            <w:tcW w:type="dxa" w:w="1080"/>
          </w:tcPr>
          <w:p>
            <w:r>
              <w:rPr>
                <w:rFonts w:ascii="Calibri" w:hAnsi="Calibri"/>
                <w:sz w:val="22"/>
              </w:rPr>
              <w:t>$1.63</w:t>
            </w:r>
          </w:p>
        </w:tc>
        <w:tc>
          <w:tcPr>
            <w:tcW w:type="dxa" w:w="1080"/>
          </w:tcPr>
          <w:p>
            <w:r>
              <w:rPr>
                <w:rFonts w:ascii="Calibri" w:hAnsi="Calibri"/>
                <w:sz w:val="22"/>
              </w:rPr>
              <w:t>$1.66</w:t>
            </w:r>
          </w:p>
        </w:tc>
        <w:tc>
          <w:tcPr>
            <w:tcW w:type="dxa" w:w="1080"/>
          </w:tcPr>
          <w:p>
            <w:r>
              <w:rPr>
                <w:rFonts w:ascii="Calibri" w:hAnsi="Calibri"/>
                <w:b/>
                <w:color w:val="30A46C"/>
                <w:sz w:val="22"/>
              </w:rPr>
              <w:t>+1.8%</w:t>
            </w:r>
          </w:p>
        </w:tc>
        <w:tc>
          <w:tcPr>
            <w:tcW w:type="dxa" w:w="1080"/>
          </w:tcPr>
          <w:p>
            <w:r>
              <w:rPr>
                <w:rFonts w:ascii="Calibri" w:hAnsi="Calibri"/>
                <w:sz w:val="22"/>
              </w:rPr>
              <w:t>~Flat FY (implied ~$1.60–$1.70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US Dom. Op. Margin (Q2 2026)</w:t>
            </w:r>
          </w:p>
        </w:tc>
        <w:tc>
          <w:tcPr>
            <w:tcW w:type="dxa" w:w="1080"/>
          </w:tcPr>
          <w:p>
            <w:r>
              <w:rPr>
                <w:rFonts w:ascii="Calibri" w:hAnsi="Calibri"/>
                <w:sz w:val="22"/>
              </w:rPr>
              <w:t>7.71%</w:t>
            </w:r>
          </w:p>
        </w:tc>
        <w:tc>
          <w:tcPr>
            <w:tcW w:type="dxa" w:w="1080"/>
          </w:tcPr>
          <w:p>
            <w:r>
              <w:rPr>
                <w:rFonts w:ascii="Calibri" w:hAnsi="Calibri"/>
                <w:sz w:val="22"/>
              </w:rPr>
              <w:t>7.76%</w:t>
            </w:r>
          </w:p>
        </w:tc>
        <w:tc>
          <w:tcPr>
            <w:tcW w:type="dxa" w:w="1080"/>
          </w:tcPr>
          <w:p>
            <w:r>
              <w:rPr>
                <w:rFonts w:ascii="Calibri" w:hAnsi="Calibri"/>
                <w:b/>
                <w:color w:val="30A46C"/>
                <w:sz w:val="22"/>
              </w:rPr>
              <w:t>+5 bps</w:t>
            </w:r>
          </w:p>
        </w:tc>
        <w:tc>
          <w:tcPr>
            <w:tcW w:type="dxa" w:w="1080"/>
          </w:tcPr>
          <w:p>
            <w:r>
              <w:rPr>
                <w:rFonts w:ascii="Calibri" w:hAnsi="Calibri"/>
                <w:sz w:val="22"/>
              </w:rPr>
              <w:t>7.5%–8.5%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 bps below mid</w:t>
            </w:r>
          </w:p>
        </w:tc>
      </w:tr>
      <w:tr>
        <w:tc>
          <w:tcPr>
            <w:tcW w:type="dxa" w:w="1080"/>
          </w:tcPr>
          <w:p>
            <w:r>
              <w:rPr>
                <w:rFonts w:ascii="Calibri" w:hAnsi="Calibri"/>
                <w:sz w:val="22"/>
              </w:rPr>
              <w:t>Avg. RPP — US Dom. (Q2 2026)</w:t>
            </w:r>
          </w:p>
        </w:tc>
        <w:tc>
          <w:tcPr>
            <w:tcW w:type="dxa" w:w="1080"/>
          </w:tcPr>
          <w:p>
            <w:r>
              <w:rPr>
                <w:rFonts w:ascii="Calibri" w:hAnsi="Calibri"/>
                <w:sz w:val="22"/>
              </w:rPr>
              <w:t>$14.06</w:t>
            </w:r>
          </w:p>
        </w:tc>
        <w:tc>
          <w:tcPr>
            <w:tcW w:type="dxa" w:w="1080"/>
          </w:tcPr>
          <w:p>
            <w:r>
              <w:rPr>
                <w:rFonts w:ascii="Calibri" w:hAnsi="Calibri"/>
                <w:sz w:val="22"/>
              </w:rPr>
              <w:t>$14.16</w:t>
            </w:r>
          </w:p>
        </w:tc>
        <w:tc>
          <w:tcPr>
            <w:tcW w:type="dxa" w:w="1080"/>
          </w:tcPr>
          <w:p>
            <w:r>
              <w:rPr>
                <w:rFonts w:ascii="Calibri" w:hAnsi="Calibri"/>
                <w:b/>
                <w:color w:val="30A46C"/>
                <w:sz w:val="22"/>
              </w:rPr>
              <w:t>+0.7%</w:t>
            </w:r>
          </w:p>
        </w:tc>
        <w:tc>
          <w:tcPr>
            <w:tcW w:type="dxa" w:w="1080"/>
          </w:tcPr>
          <w:p>
            <w:r>
              <w:rPr>
                <w:rFonts w:ascii="Calibri" w:hAnsi="Calibri"/>
                <w:sz w:val="22"/>
              </w:rPr>
              <w:t>Mid-SD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implied pace</w:t>
            </w:r>
          </w:p>
        </w:tc>
      </w:tr>
      <w:tr>
        <w:tc>
          <w:tcPr>
            <w:tcW w:type="dxa" w:w="1080"/>
          </w:tcPr>
          <w:p>
            <w:r>
              <w:rPr>
                <w:rFonts w:ascii="Calibri" w:hAnsi="Calibri"/>
                <w:sz w:val="22"/>
              </w:rPr>
              <w:t>Revenue (FY 2026)</w:t>
            </w:r>
          </w:p>
        </w:tc>
        <w:tc>
          <w:tcPr>
            <w:tcW w:type="dxa" w:w="1080"/>
          </w:tcPr>
          <w:p>
            <w:r>
              <w:rPr>
                <w:rFonts w:ascii="Calibri" w:hAnsi="Calibri"/>
                <w:sz w:val="22"/>
              </w:rPr>
              <w:t>$90.4B</w:t>
            </w:r>
          </w:p>
        </w:tc>
        <w:tc>
          <w:tcPr>
            <w:tcW w:type="dxa" w:w="1080"/>
          </w:tcPr>
          <w:p>
            <w:r>
              <w:rPr>
                <w:rFonts w:ascii="Calibri" w:hAnsi="Calibri"/>
                <w:sz w:val="22"/>
              </w:rPr>
              <w:t>$90.4B</w:t>
            </w:r>
          </w:p>
        </w:tc>
        <w:tc>
          <w:tcPr>
            <w:tcW w:type="dxa" w:w="1080"/>
          </w:tcPr>
          <w:p>
            <w:r>
              <w:rPr>
                <w:rFonts w:ascii="Calibri" w:hAnsi="Calibri"/>
                <w:sz w:val="22"/>
              </w:rPr>
              <w:t>Flat</w:t>
            </w:r>
          </w:p>
        </w:tc>
        <w:tc>
          <w:tcPr>
            <w:tcW w:type="dxa" w:w="1080"/>
          </w:tcPr>
          <w:p>
            <w:r>
              <w:rPr>
                <w:rFonts w:ascii="Calibri" w:hAnsi="Calibri"/>
                <w:sz w:val="22"/>
              </w:rPr>
              <w:t>~$89.7B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guidance</w:t>
            </w:r>
          </w:p>
        </w:tc>
      </w:tr>
      <w:tr>
        <w:tc>
          <w:tcPr>
            <w:tcW w:type="dxa" w:w="1080"/>
          </w:tcPr>
          <w:p>
            <w:r>
              <w:rPr>
                <w:rFonts w:ascii="Calibri" w:hAnsi="Calibri"/>
                <w:sz w:val="22"/>
              </w:rPr>
              <w:t>Adj. EPS (FY 2026)</w:t>
            </w:r>
          </w:p>
        </w:tc>
        <w:tc>
          <w:tcPr>
            <w:tcW w:type="dxa" w:w="1080"/>
          </w:tcPr>
          <w:p>
            <w:r>
              <w:rPr>
                <w:rFonts w:ascii="Calibri" w:hAnsi="Calibri"/>
                <w:sz w:val="22"/>
              </w:rPr>
              <w:t>$7.11</w:t>
            </w:r>
          </w:p>
        </w:tc>
        <w:tc>
          <w:tcPr>
            <w:tcW w:type="dxa" w:w="1080"/>
          </w:tcPr>
          <w:p>
            <w:r>
              <w:rPr>
                <w:rFonts w:ascii="Calibri" w:hAnsi="Calibri"/>
                <w:sz w:val="22"/>
              </w:rPr>
              <w:t>$7.12</w:t>
            </w:r>
          </w:p>
        </w:tc>
        <w:tc>
          <w:tcPr>
            <w:tcW w:type="dxa" w:w="1080"/>
          </w:tcPr>
          <w:p>
            <w:r>
              <w:rPr>
                <w:rFonts w:ascii="Calibri" w:hAnsi="Calibri"/>
                <w:sz w:val="22"/>
              </w:rPr>
              <w:t>+0.1%</w:t>
            </w:r>
          </w:p>
        </w:tc>
        <w:tc>
          <w:tcPr>
            <w:tcW w:type="dxa" w:w="1080"/>
          </w:tcPr>
          <w:p>
            <w:r>
              <w:rPr>
                <w:rFonts w:ascii="Calibri" w:hAnsi="Calibri"/>
                <w:sz w:val="22"/>
              </w:rPr>
              <w:t>~Flat to FY25 (~$7.12)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 midpoint</w:t>
            </w:r>
          </w:p>
        </w:tc>
      </w:tr>
    </w:tbl>
    <w:p>
      <w:r>
        <w:rPr>
          <w:rFonts w:ascii="Calibri" w:hAnsi="Calibri"/>
          <w:color w:val="525866"/>
          <w:sz w:val="22"/>
        </w:rPr>
        <w:t>Estimates have drifted modestly higher since the Q1 print across all key metrics, with no divergence from guidance — a constructive setup. The domestic margin consensus at 7.76% sits below the guidance midpoint of 8.0%, meaning any execution at or above the midpoint would represent a positive surprise.</w:t>
      </w:r>
    </w:p>
    <w:p>
      <w:r>
        <w:rPr>
          <w:rFonts w:ascii="Calibri" w:hAnsi="Calibri"/>
          <w:i/>
          <w:color w:val="525866"/>
          <w:sz w:val="22"/>
        </w:rPr>
        <w:t>Source: Visible Alpha Consensus and Actuals Data (as-of date: May 5, 2026 for baseline; current as of July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UPS has outperformed both the S&amp;P 500 and the IYT transport ETF since the Q1 2026 earnings date, rising </w:t>
      </w:r>
      <w:r>
        <w:rPr>
          <w:rFonts w:ascii="Calibri" w:hAnsi="Calibri"/>
          <w:b/>
          <w:color w:val="525866"/>
          <w:sz w:val="22"/>
        </w:rPr>
        <w:t>+8.7%</w:t>
      </w:r>
      <w:r>
        <w:rPr>
          <w:rFonts w:ascii="Calibri" w:hAnsi="Calibri"/>
          <w:color w:val="525866"/>
          <w:sz w:val="22"/>
        </w:rPr>
        <w:t xml:space="preserve"> vs. +3.8% for SPY and +7.8% for IYT — performance driven by a combination of sentiment recovery (stock was deeply oversold pre-Q1) and modest multiple re-rating as the Amazon glide-down nears completion; the stock still trades at a discount to historical multiples, suggesting the re-rating is not yet stretched.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UPS vs. IYT (Transport ETF) vs. S&amp;P 500 — Indexed to 100 at Q1 2026 Earnings Date (Apr 28, 2026). Sector ETF: IYT (iShares Transportation Average ETF), appropriate for UPS's package delivery / transportation sub-sector. Source: Stock Price Data.</w:t>
      </w:r>
    </w:p>
    <w:p>
      <w:pPr>
        <w:pStyle w:val="ListBullet"/>
        <w:ind w:left="360" w:hanging="360"/>
      </w:pPr>
      <w:r>
        <w:rPr>
          <w:rFonts w:ascii="Calibri" w:hAnsi="Calibri"/>
          <w:b/>
          <w:color w:val="525866"/>
          <w:sz w:val="22"/>
        </w:rPr>
        <w:t xml:space="preserve">Apr 28, 2026 (Q1 Earnings): </w:t>
      </w:r>
      <w:r>
        <w:rPr>
          <w:rFonts w:ascii="Calibri" w:hAnsi="Calibri"/>
          <w:color w:val="525866"/>
          <w:sz w:val="22"/>
        </w:rPr>
        <w:t>UPS closed at $103.94, down from $108.24 the prior day as the stock initially sold off on the domestic margin miss (4.0% vs. 4.65% consensus), before recovering as investors focused on the Q2 guidance and management's confident tone.</w:t>
      </w:r>
    </w:p>
    <w:p>
      <w:pPr>
        <w:pStyle w:val="ListBullet"/>
        <w:ind w:left="360" w:hanging="360"/>
      </w:pPr>
      <w:r>
        <w:rPr>
          <w:rFonts w:ascii="Calibri" w:hAnsi="Calibri"/>
          <w:b/>
          <w:color w:val="525866"/>
          <w:sz w:val="22"/>
        </w:rPr>
        <w:t xml:space="preserve">May 4–5, 2026: </w:t>
      </w:r>
      <w:r>
        <w:rPr>
          <w:rFonts w:ascii="Calibri" w:hAnsi="Calibri"/>
          <w:color w:val="525866"/>
          <w:sz w:val="22"/>
        </w:rPr>
        <w:t>UPS dropped to ~$96–$98 range, the lowest point since earnings, as broader market volatility and sector rotation weighed on the stock.</w:t>
      </w:r>
    </w:p>
    <w:p>
      <w:pPr>
        <w:pStyle w:val="ListBullet"/>
        <w:ind w:left="360" w:hanging="360"/>
      </w:pPr>
      <w:r>
        <w:rPr>
          <w:rFonts w:ascii="Calibri" w:hAnsi="Calibri"/>
          <w:b/>
          <w:color w:val="525866"/>
          <w:sz w:val="22"/>
        </w:rPr>
        <w:t xml:space="preserve">May 13, 2026: </w:t>
      </w:r>
      <w:r>
        <w:rPr>
          <w:rFonts w:ascii="Calibri" w:hAnsi="Calibri"/>
          <w:color w:val="525866"/>
          <w:sz w:val="22"/>
        </w:rPr>
        <w:t>Board Director Kevin Warsh resigned to chair the Federal Reserve — minor negative governance event, limited stock impact.</w:t>
      </w:r>
    </w:p>
    <w:p>
      <w:pPr>
        <w:pStyle w:val="ListBullet"/>
        <w:ind w:left="360" w:hanging="360"/>
      </w:pPr>
      <w:r>
        <w:rPr>
          <w:rFonts w:ascii="Calibri" w:hAnsi="Calibri"/>
          <w:b/>
          <w:color w:val="525866"/>
          <w:sz w:val="22"/>
        </w:rPr>
        <w:t xml:space="preserve">Late May – June 2026: </w:t>
      </w:r>
      <w:r>
        <w:rPr>
          <w:rFonts w:ascii="Calibri" w:hAnsi="Calibri"/>
          <w:color w:val="525866"/>
          <w:sz w:val="22"/>
        </w:rPr>
        <w:t>Gradual recovery to $108–$110 range as freight market tightening signals from peers (JBHT, XPO, ODFL) improved sentiment on the transport sector broadly.</w:t>
      </w:r>
    </w:p>
    <w:p>
      <w:pPr>
        <w:pStyle w:val="ListBullet"/>
        <w:ind w:left="360" w:hanging="360"/>
      </w:pPr>
      <w:r>
        <w:rPr>
          <w:rFonts w:ascii="Calibri" w:hAnsi="Calibri"/>
          <w:b/>
          <w:color w:val="525866"/>
          <w:sz w:val="22"/>
        </w:rPr>
        <w:t xml:space="preserve">Jun 15, 2026: </w:t>
      </w:r>
      <w:r>
        <w:rPr>
          <w:rFonts w:ascii="Calibri" w:hAnsi="Calibri"/>
          <w:color w:val="525866"/>
          <w:sz w:val="22"/>
        </w:rPr>
        <w:t>Board Director Eva Boratto departed to become CFO at Cencora — minor governance event.</w:t>
      </w:r>
    </w:p>
    <w:p>
      <w:pPr>
        <w:pStyle w:val="ListBullet"/>
        <w:ind w:left="360" w:hanging="360"/>
      </w:pPr>
      <w:r>
        <w:rPr>
          <w:rFonts w:ascii="Calibri" w:hAnsi="Calibri"/>
          <w:b/>
          <w:color w:val="525866"/>
          <w:sz w:val="22"/>
        </w:rPr>
        <w:t xml:space="preserve">Jul 14–17, 2026: </w:t>
      </w:r>
      <w:r>
        <w:rPr>
          <w:rFonts w:ascii="Calibri" w:hAnsi="Calibri"/>
          <w:color w:val="525866"/>
          <w:sz w:val="22"/>
        </w:rPr>
        <w:t>UPS surged to $117–$118 range (highest since earnings) following JBHT's Q2 2026 earnings report (July 15) which showed record intermodal volumes and the sharpest freight market tightening since 2021–2022, a strong read-through for UPS's Q2 volume and pricing.</w:t>
      </w:r>
    </w:p>
    <w:p>
      <w:pPr>
        <w:pStyle w:val="ListBullet"/>
        <w:ind w:left="360" w:hanging="360"/>
      </w:pPr>
      <w:r>
        <w:rPr>
          <w:rFonts w:ascii="Calibri" w:hAnsi="Calibri"/>
          <w:b/>
          <w:color w:val="525866"/>
          <w:sz w:val="22"/>
        </w:rPr>
        <w:t xml:space="preserve">Jul 28, 2026 (Today): </w:t>
      </w:r>
      <w:r>
        <w:rPr>
          <w:rFonts w:ascii="Calibri" w:hAnsi="Calibri"/>
          <w:color w:val="525866"/>
          <w:sz w:val="22"/>
        </w:rPr>
        <w:t>UPS closed at $112.95, up +8.7% since Q1 earnings, with the stock pulling back modestly from the July highs ahead of the print.</w:t>
      </w:r>
    </w:p>
    <w:p>
      <w:r>
        <w:br w:type="page"/>
      </w:r>
    </w:p>
    <w:p>
      <w:pPr>
        <w:pStyle w:val="Heading2"/>
      </w:pPr>
      <w:r>
        <w:rPr>
          <w:rFonts w:ascii="Calibri" w:hAnsi="Calibri"/>
          <w:b/>
          <w:color w:val="3B4259"/>
          <w:sz w:val="28"/>
        </w:rPr>
        <w:t>6.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companies reporting on or after April 28, 2026 paints a constructively positive picture for UPS's Q2 — freight capacity is tightening sharply, pricing is accelerating, and demand is improving across B2B and industrial verticals. The most actionable read-throughs are from </w:t>
      </w:r>
      <w:r>
        <w:rPr>
          <w:rFonts w:ascii="Calibri" w:hAnsi="Calibri"/>
          <w:b/>
          <w:color w:val="525866"/>
          <w:sz w:val="22"/>
        </w:rPr>
        <w:t>FedEx (Q4 FY2026, reported June 23)</w:t>
      </w:r>
      <w:r>
        <w:rPr>
          <w:rFonts w:ascii="Calibri" w:hAnsi="Calibri"/>
          <w:color w:val="525866"/>
          <w:sz w:val="22"/>
        </w:rPr>
        <w:t xml:space="preserve"> and </w:t>
      </w:r>
      <w:r>
        <w:rPr>
          <w:rFonts w:ascii="Calibri" w:hAnsi="Calibri"/>
          <w:b/>
          <w:color w:val="525866"/>
          <w:sz w:val="22"/>
        </w:rPr>
        <w:t>J.B. Hunt (Q2 2026, reported July 15)</w:t>
      </w:r>
      <w:r>
        <w:rPr>
          <w:rFonts w:ascii="Calibri" w:hAnsi="Calibri"/>
          <w:color w:val="525866"/>
          <w:sz w:val="22"/>
        </w:rPr>
        <w:t>, both of which directly cover the April–June period UPS is now reporting.</w:t>
      </w:r>
    </w:p>
    <w:p>
      <w:pPr>
        <w:pStyle w:val="Heading3"/>
      </w:pPr>
      <w:r>
        <w:rPr>
          <w:rFonts w:ascii="Calibri" w:hAnsi="Calibri"/>
          <w:b/>
          <w:color w:val="3B4259"/>
          <w:sz w:val="24"/>
        </w:rPr>
        <w:t>FedEx (FDX) — Q4 FY2026 Earnings (Reported June 23, 2026) — DIRECT Q2 READ-THROUGH</w:t>
      </w:r>
    </w:p>
    <w:p>
      <w:r>
        <w:rPr>
          <w:rFonts w:ascii="Calibri" w:hAnsi="Calibri"/>
          <w:i/>
          <w:color w:val="525866"/>
          <w:sz w:val="22"/>
        </w:rPr>
        <w:t>Relevance: FedEx's fiscal Q4 covers March–May 2026, overlapping with UPS's Q2 (April–June). FedEx is UPS's closest direct competitor in U.S. domestic and international package delivery.</w:t>
      </w:r>
    </w:p>
    <w:p>
      <w:pPr>
        <w:pStyle w:val="ListBullet"/>
        <w:ind w:left="360" w:hanging="360"/>
      </w:pPr>
      <w:r>
        <w:rPr>
          <w:rFonts w:ascii="Calibri" w:hAnsi="Calibri"/>
          <w:b/>
          <w:color w:val="525866"/>
          <w:sz w:val="22"/>
        </w:rPr>
        <w:t xml:space="preserve">Volume recovery is real: </w:t>
      </w:r>
      <w:r>
        <w:rPr>
          <w:rFonts w:ascii="Calibri" w:hAnsi="Calibri"/>
          <w:color w:val="525866"/>
          <w:sz w:val="22"/>
        </w:rPr>
        <w:t>FedEx grew U.S. domestic volume +3% YoY in Q4 FY26, led by ground, commercial, and home delivery — a direct positive read-through for UPS's domestic volume trends in Q2. FedEx noted demand is particularly strong in B2B verticals (healthcare, automotive, aerospace, data centers), all segments UPS is also targeting.</w:t>
      </w:r>
    </w:p>
    <w:p>
      <w:pPr>
        <w:pStyle w:val="ListBullet"/>
        <w:ind w:left="360" w:hanging="360"/>
      </w:pPr>
      <w:r>
        <w:rPr>
          <w:rFonts w:ascii="Calibri" w:hAnsi="Calibri"/>
          <w:b/>
          <w:color w:val="525866"/>
          <w:sz w:val="22"/>
        </w:rPr>
        <w:t xml:space="preserve">Yield strength across all services: </w:t>
      </w:r>
      <w:r>
        <w:rPr>
          <w:rFonts w:ascii="Calibri" w:hAnsi="Calibri"/>
          <w:color w:val="525866"/>
          <w:sz w:val="22"/>
        </w:rPr>
        <w:t>FEC package yield increased +11% in Q4, with U.S. domestic yield up +10% driven by fuel surcharges, higher base rates, and favorable service mix. This is a strong read-through for UPS's revenue per piece trajectory in Q2, where consensus expects +8.7% YoY growth.</w:t>
      </w:r>
    </w:p>
    <w:p>
      <w:pPr>
        <w:pStyle w:val="ListBullet"/>
        <w:ind w:left="360" w:hanging="360"/>
      </w:pPr>
      <w:r>
        <w:rPr>
          <w:rFonts w:ascii="Calibri" w:hAnsi="Calibri"/>
          <w:b/>
          <w:color w:val="525866"/>
          <w:sz w:val="22"/>
        </w:rPr>
        <w:t xml:space="preserve">SMB momentum: </w:t>
      </w:r>
      <w:r>
        <w:rPr>
          <w:rFonts w:ascii="Calibri" w:hAnsi="Calibri"/>
          <w:color w:val="525866"/>
          <w:sz w:val="22"/>
        </w:rPr>
        <w:t>FedEx reported double-digit SMB growth in Q4, with renewal rates in the mid-90s. UPS has been targeting the same segment (SMB at 34.5% of U.S. volume in Q1 2026, a record), and FedEx's data validates the demand environment for premium SMB shipping.</w:t>
      </w:r>
    </w:p>
    <w:p>
      <w:pPr>
        <w:pStyle w:val="ListBullet"/>
        <w:ind w:left="360" w:hanging="360"/>
      </w:pPr>
      <w:r>
        <w:rPr>
          <w:rFonts w:ascii="Calibri" w:hAnsi="Calibri"/>
          <w:b/>
          <w:color w:val="525866"/>
          <w:sz w:val="22"/>
        </w:rPr>
        <w:t xml:space="preserve">Healthcare as a growth engine: </w:t>
      </w:r>
      <w:r>
        <w:rPr>
          <w:rFonts w:ascii="Calibri" w:hAnsi="Calibri"/>
          <w:color w:val="525866"/>
          <w:sz w:val="22"/>
        </w:rPr>
        <w:t>FedEx exited FY26 with nearly $10B in healthcare transportation revenue. UPS generated its first-ever $3B healthcare revenue quarter in Q1 2026 — FedEx's data confirms the vertical is growing industry-wide.</w:t>
      </w:r>
    </w:p>
    <w:p>
      <w:pPr>
        <w:pStyle w:val="ListBullet"/>
        <w:ind w:left="360" w:hanging="360"/>
      </w:pPr>
      <w:r>
        <w:rPr>
          <w:rFonts w:ascii="Calibri" w:hAnsi="Calibri"/>
          <w:b/>
          <w:color w:val="525866"/>
          <w:sz w:val="22"/>
        </w:rPr>
        <w:t xml:space="preserve">International trade lane recovery: </w:t>
      </w:r>
      <w:r>
        <w:rPr>
          <w:rFonts w:ascii="Calibri" w:hAnsi="Calibri"/>
          <w:color w:val="525866"/>
          <w:sz w:val="22"/>
        </w:rPr>
        <w:t>FedEx reported international export package volumes up +5% YoY for the second consecutive quarter, with double-digit revenue growth on Asia-Europe and U.S. outbound lanes. This is a positive read-through for UPS's international segment, which guided to low-single-digit revenue growth in Q2.</w:t>
      </w:r>
    </w:p>
    <w:p>
      <w:pPr>
        <w:pStyle w:val="ListBullet"/>
        <w:ind w:left="360" w:hanging="360"/>
      </w:pPr>
      <w:r>
        <w:rPr>
          <w:rFonts w:ascii="Calibri" w:hAnsi="Calibri"/>
          <w:b/>
          <w:color w:val="525866"/>
          <w:sz w:val="22"/>
        </w:rPr>
        <w:t xml:space="preserve">Inventory restocking underway: </w:t>
      </w:r>
      <w:r>
        <w:rPr>
          <w:rFonts w:ascii="Calibri" w:hAnsi="Calibri"/>
          <w:color w:val="525866"/>
          <w:sz w:val="22"/>
        </w:rPr>
        <w:t>FedEx management noted "a little bit of inventory build-up and rebound and restocking going on" — a positive demand signal for UPS's B2B and ground volume in Q2.</w:t>
      </w:r>
    </w:p>
    <w:p>
      <w:pPr>
        <w:pStyle w:val="ListBullet"/>
        <w:ind w:left="360" w:hanging="360"/>
      </w:pPr>
      <w:r>
        <w:rPr>
          <w:rFonts w:ascii="Calibri" w:hAnsi="Calibri"/>
          <w:b/>
          <w:color w:val="525866"/>
          <w:sz w:val="22"/>
        </w:rPr>
        <w:t xml:space="preserve">Ground Economy volume declining: </w:t>
      </w:r>
      <w:r>
        <w:rPr>
          <w:rFonts w:ascii="Calibri" w:hAnsi="Calibri"/>
          <w:color w:val="525866"/>
          <w:sz w:val="22"/>
        </w:rPr>
        <w:t>FedEx's Ground Economy volume declined ~5% in Q4, a trend expected to continue — this is consistent with UPS's deliberate strategy to shed low-margin e-commerce volume and focus on premium segments. Not a negative read-through for UPS.</w:t>
      </w:r>
    </w:p>
    <w:p>
      <w:pPr>
        <w:pStyle w:val="Heading3"/>
      </w:pPr>
      <w:r>
        <w:rPr>
          <w:rFonts w:ascii="Calibri" w:hAnsi="Calibri"/>
          <w:b/>
          <w:color w:val="3B4259"/>
          <w:sz w:val="24"/>
        </w:rPr>
        <w:t>J.B. Hunt (JBHT) — Q2 2026 Earnings (Reported July 15, 2026) — DIRECT Q2 READ-THROUGH</w:t>
      </w:r>
    </w:p>
    <w:p>
      <w:r>
        <w:rPr>
          <w:rFonts w:ascii="Calibri" w:hAnsi="Calibri"/>
          <w:i/>
          <w:color w:val="525866"/>
          <w:sz w:val="22"/>
        </w:rPr>
        <w:t>Relevance: JBHT's Q2 covers April–June 2026, the exact same period as UPS's Q2. JBHT is a major intermodal and truckload carrier whose freight market commentary is a leading indicator for UPS's domestic volume and pricing environment.</w:t>
      </w:r>
    </w:p>
    <w:p>
      <w:pPr>
        <w:pStyle w:val="ListBullet"/>
        <w:ind w:left="360" w:hanging="360"/>
      </w:pPr>
      <w:r>
        <w:rPr>
          <w:rFonts w:ascii="Calibri" w:hAnsi="Calibri"/>
          <w:b/>
          <w:color w:val="525866"/>
          <w:sz w:val="22"/>
        </w:rPr>
        <w:t xml:space="preserve">Sharpest freight market tightening since 2021–2022: </w:t>
      </w:r>
      <w:r>
        <w:rPr>
          <w:rFonts w:ascii="Calibri" w:hAnsi="Calibri"/>
          <w:color w:val="525866"/>
          <w:sz w:val="22"/>
        </w:rPr>
        <w:t>JBHT reported that capacity has tightened across the industry due to safety-focused enforcement and broader supply pressures, with tender rejections, spot pricing, and driver employment moving toward levels not seen since 2021–2022. This is the most significant positive read-through for UPS — a tighter freight market means higher pricing power and better volume mix.</w:t>
      </w:r>
    </w:p>
    <w:p>
      <w:pPr>
        <w:pStyle w:val="ListBullet"/>
        <w:ind w:left="360" w:hanging="360"/>
      </w:pPr>
      <w:r>
        <w:rPr>
          <w:rFonts w:ascii="Calibri" w:hAnsi="Calibri"/>
          <w:b/>
          <w:color w:val="525866"/>
          <w:sz w:val="22"/>
        </w:rPr>
        <w:t xml:space="preserve">Record intermodal volumes: </w:t>
      </w:r>
      <w:r>
        <w:rPr>
          <w:rFonts w:ascii="Calibri" w:hAnsi="Calibri"/>
          <w:color w:val="525866"/>
          <w:sz w:val="22"/>
        </w:rPr>
        <w:t>JBHT set a quarterly volume record with 578,000+ intermodal loads in Q2, up +10% YoY — the first double-digit volume growth quarter in over a decade. Monthly volumes accelerated: +9% in April, +9% in May, +12% in June. This confirms demand was building throughout the quarter, a positive for UPS's Q2 volume trajectory.</w:t>
      </w:r>
    </w:p>
    <w:p>
      <w:pPr>
        <w:pStyle w:val="ListBullet"/>
        <w:ind w:left="360" w:hanging="360"/>
      </w:pPr>
      <w:r>
        <w:rPr>
          <w:rFonts w:ascii="Calibri" w:hAnsi="Calibri"/>
          <w:b/>
          <w:color w:val="525866"/>
          <w:sz w:val="22"/>
        </w:rPr>
        <w:t xml:space="preserve">Pricing inflecting upward: </w:t>
      </w:r>
      <w:r>
        <w:rPr>
          <w:rFonts w:ascii="Calibri" w:hAnsi="Calibri"/>
          <w:color w:val="525866"/>
          <w:sz w:val="22"/>
        </w:rPr>
        <w:t>JBHT secured double-digit rate increases in ICS (brokerage) and noted that intermodal prices are up year-over-year. Customers are initiating more out-of-cycle bids to reset pricing to current market conditions. This is a positive read-through for UPS's revenue per piece growth in Q2.</w:t>
      </w:r>
    </w:p>
    <w:p>
      <w:pPr>
        <w:pStyle w:val="ListBullet"/>
        <w:ind w:left="360" w:hanging="360"/>
      </w:pPr>
      <w:r>
        <w:rPr>
          <w:rFonts w:ascii="Calibri" w:hAnsi="Calibri"/>
          <w:b/>
          <w:color w:val="525866"/>
          <w:sz w:val="22"/>
        </w:rPr>
        <w:t xml:space="preserve">Demand outpacing supply: </w:t>
      </w:r>
      <w:r>
        <w:rPr>
          <w:rFonts w:ascii="Calibri" w:hAnsi="Calibri"/>
          <w:color w:val="525866"/>
          <w:sz w:val="22"/>
        </w:rPr>
        <w:t>JBHT stated demand for its services is "extraordinarily strong" and that it still has thousands of loads to grow into with excess intermodal containers. U.S. consumer demand described as "resilient" and industrial demand improving. Positive for UPS's domestic volume.</w:t>
      </w:r>
    </w:p>
    <w:p>
      <w:pPr>
        <w:pStyle w:val="ListBullet"/>
        <w:ind w:left="360" w:hanging="360"/>
      </w:pPr>
      <w:r>
        <w:rPr>
          <w:rFonts w:ascii="Calibri" w:hAnsi="Calibri"/>
          <w:b/>
          <w:color w:val="525866"/>
          <w:sz w:val="22"/>
        </w:rPr>
        <w:t xml:space="preserve">Driver market tightening: </w:t>
      </w:r>
      <w:r>
        <w:rPr>
          <w:rFonts w:ascii="Calibri" w:hAnsi="Calibri"/>
          <w:color w:val="525866"/>
          <w:sz w:val="22"/>
        </w:rPr>
        <w:t>JBHT noted specific markets are "as tight as we have ever seen" for drivers, with sign-on bonuses and targeted wage increases implemented. This is a cost headwind for UPS as well, but also validates the pricing power environment.</w:t>
      </w:r>
    </w:p>
    <w:p>
      <w:pPr>
        <w:pStyle w:val="ListBullet"/>
        <w:ind w:left="360" w:hanging="360"/>
      </w:pPr>
      <w:r>
        <w:rPr>
          <w:rFonts w:ascii="Calibri" w:hAnsi="Calibri"/>
          <w:b/>
          <w:color w:val="525866"/>
          <w:sz w:val="22"/>
        </w:rPr>
        <w:t xml:space="preserve">Fuel headwind: </w:t>
      </w:r>
      <w:r>
        <w:rPr>
          <w:rFonts w:ascii="Calibri" w:hAnsi="Calibri"/>
          <w:color w:val="525866"/>
          <w:sz w:val="22"/>
        </w:rPr>
        <w:t>Fuel was a ~100 bps headwind to JBHT's operating margin percentage in Q2 vs. prior year. UPS has fuel surcharge mechanisms that adjust weekly, providing partial offset, but elevated fuel costs are a watch item for Q2 margins.</w:t>
      </w:r>
    </w:p>
    <w:p>
      <w:pPr>
        <w:pStyle w:val="Heading3"/>
      </w:pPr>
      <w:r>
        <w:rPr>
          <w:rFonts w:ascii="Calibri" w:hAnsi="Calibri"/>
          <w:b/>
          <w:color w:val="3B4259"/>
          <w:sz w:val="24"/>
        </w:rPr>
        <w:t>Amazon (AMZN) — Q1 2026 Earnings (Reported April 29, 2026) — Q2 FORWARD COMMENTARY</w:t>
      </w:r>
    </w:p>
    <w:p>
      <w:r>
        <w:rPr>
          <w:rFonts w:ascii="Calibri" w:hAnsi="Calibri"/>
          <w:i/>
          <w:color w:val="525866"/>
          <w:sz w:val="22"/>
        </w:rPr>
        <w:t>Relevance: Amazon is UPS's largest single customer (8.8% of revenue as of Q1 2026, down from 13%+). Amazon's Q2 2026 guidance and shipping commentary are relevant to UPS's volume outlook.</w:t>
      </w:r>
    </w:p>
    <w:p>
      <w:pPr>
        <w:pStyle w:val="ListBullet"/>
        <w:ind w:left="360" w:hanging="360"/>
      </w:pPr>
      <w:r>
        <w:rPr>
          <w:rFonts w:ascii="Calibri" w:hAnsi="Calibri"/>
          <w:b/>
          <w:color w:val="525866"/>
          <w:sz w:val="22"/>
        </w:rPr>
        <w:t xml:space="preserve">Amazon Q2 2026 guidance strong: </w:t>
      </w:r>
      <w:r>
        <w:rPr>
          <w:rFonts w:ascii="Calibri" w:hAnsi="Calibri"/>
          <w:color w:val="525866"/>
          <w:sz w:val="22"/>
        </w:rPr>
        <w:t>Amazon guided Q2 net sales of $194–$199B and operating income of $20–$24B, with "strong sales trends carrying into Q2." Prime Day expected in Q2 in most major geographies (including the U.S.) — a potential volume tailwind for UPS's remaining Amazon business (returns, premium services).</w:t>
      </w:r>
    </w:p>
    <w:p>
      <w:pPr>
        <w:pStyle w:val="ListBullet"/>
        <w:ind w:left="360" w:hanging="360"/>
      </w:pPr>
      <w:r>
        <w:rPr>
          <w:rFonts w:ascii="Calibri" w:hAnsi="Calibri"/>
          <w:b/>
          <w:color w:val="525866"/>
          <w:sz w:val="22"/>
        </w:rPr>
        <w:t xml:space="preserve">Higher transportation costs from fuel inflation: </w:t>
      </w:r>
      <w:r>
        <w:rPr>
          <w:rFonts w:ascii="Calibri" w:hAnsi="Calibri"/>
          <w:color w:val="525866"/>
          <w:sz w:val="22"/>
        </w:rPr>
        <w:t>Amazon's Q2 guidance explicitly incorporates "higher transportation costs related to fuel inflation," partially offset by a new fuel and logistics-related FBA surcharge. Validates the fuel cost environment UPS is navigating.</w:t>
      </w:r>
    </w:p>
    <w:p>
      <w:pPr>
        <w:pStyle w:val="ListBullet"/>
        <w:ind w:left="360" w:hanging="360"/>
      </w:pPr>
      <w:r>
        <w:rPr>
          <w:rFonts w:ascii="Calibri" w:hAnsi="Calibri"/>
          <w:b/>
          <w:color w:val="525866"/>
          <w:sz w:val="22"/>
        </w:rPr>
        <w:t xml:space="preserve">Unit growth outpacing fulfillment costs: </w:t>
      </w:r>
      <w:r>
        <w:rPr>
          <w:rFonts w:ascii="Calibri" w:hAnsi="Calibri"/>
          <w:color w:val="525866"/>
          <w:sz w:val="22"/>
        </w:rPr>
        <w:t>Amazon's Q1 unit growth of +15% outpaced outbound shipping cost growth of +12% and fulfillment expense growth of +9%, suggesting Amazon's logistics efficiency is improving. This is a mild negative read-through for UPS's Amazon volume (Amazon is increasingly self-sufficient), but the glide-down is already priced in.</w:t>
      </w:r>
    </w:p>
    <w:p>
      <w:pPr>
        <w:pStyle w:val="Heading3"/>
      </w:pPr>
      <w:r>
        <w:rPr>
          <w:rFonts w:ascii="Calibri" w:hAnsi="Calibri"/>
          <w:b/>
          <w:color w:val="3B4259"/>
          <w:sz w:val="24"/>
        </w:rPr>
        <w:t>GXO Logistics (GXO) — Q1 2026 Earnings (Reported May 6, 2026) — Q2 FORWARD COMMENTARY</w:t>
      </w:r>
    </w:p>
    <w:p>
      <w:r>
        <w:rPr>
          <w:rFonts w:ascii="Calibri" w:hAnsi="Calibri"/>
          <w:i/>
          <w:color w:val="525866"/>
          <w:sz w:val="22"/>
        </w:rPr>
        <w:t>Relevance: GXO is a contract logistics peer with commentary on B2B demand, tariff impacts, and supply chain outsourcing trends relevant to UPS's Supply Chain Solutions segment.</w:t>
      </w:r>
    </w:p>
    <w:p>
      <w:pPr>
        <w:pStyle w:val="ListBullet"/>
        <w:ind w:left="360" w:hanging="360"/>
      </w:pPr>
      <w:r>
        <w:rPr>
          <w:rFonts w:ascii="Calibri" w:hAnsi="Calibri"/>
          <w:b/>
          <w:color w:val="525866"/>
          <w:sz w:val="22"/>
        </w:rPr>
        <w:t xml:space="preserve">Tariffs driving supply chain outsourcing: </w:t>
      </w:r>
      <w:r>
        <w:rPr>
          <w:rFonts w:ascii="Calibri" w:hAnsi="Calibri"/>
          <w:color w:val="525866"/>
          <w:sz w:val="22"/>
        </w:rPr>
        <w:t>GXO described tariffs as a "catalyst for supply chain efficiency," with significant demand for free trade zone solutions (GXO operates 67 globally). Onshoring acceleration in North America is driving net volume increases in B2B industrial verticals — a positive read-through for UPS's SCS segment.</w:t>
      </w:r>
    </w:p>
    <w:p>
      <w:pPr>
        <w:pStyle w:val="ListBullet"/>
        <w:ind w:left="360" w:hanging="360"/>
      </w:pPr>
      <w:r>
        <w:rPr>
          <w:rFonts w:ascii="Calibri" w:hAnsi="Calibri"/>
          <w:b/>
          <w:color w:val="525866"/>
          <w:sz w:val="22"/>
        </w:rPr>
        <w:t xml:space="preserve">B2B industrial verticals outperforming: </w:t>
      </w:r>
      <w:r>
        <w:rPr>
          <w:rFonts w:ascii="Calibri" w:hAnsi="Calibri"/>
          <w:color w:val="525866"/>
          <w:sz w:val="22"/>
        </w:rPr>
        <w:t>GXO's aerospace, defense, industrial, technology, and life sciences volumes were slightly up in Q1, while B2C retail was slightly down. This mix shift toward B2B industrials is consistent with UPS's strategic pivot and validates the demand environment for UPS's SCS and B2B domestic segments.</w:t>
      </w:r>
    </w:p>
    <w:p>
      <w:pPr>
        <w:pStyle w:val="ListBullet"/>
        <w:ind w:left="360" w:hanging="360"/>
      </w:pPr>
      <w:r>
        <w:rPr>
          <w:rFonts w:ascii="Calibri" w:hAnsi="Calibri"/>
          <w:b/>
          <w:color w:val="525866"/>
          <w:sz w:val="22"/>
        </w:rPr>
        <w:t xml:space="preserve">Record pipeline: </w:t>
      </w:r>
      <w:r>
        <w:rPr>
          <w:rFonts w:ascii="Calibri" w:hAnsi="Calibri"/>
          <w:color w:val="525866"/>
          <w:sz w:val="22"/>
        </w:rPr>
        <w:t>GXO's total pipeline reached a record $2.7B in Q1, with $870M of incremental new business revenue already secured for 2026 (up 19% vs. prior year). Strong commercial momentum in contract logistics is a positive backdrop for UPS's SCS segment growth.</w:t>
      </w:r>
    </w:p>
    <w:p>
      <w:r>
        <w:rPr>
          <w:rFonts w:ascii="Calibri" w:hAnsi="Calibri"/>
          <w:i/>
          <w:color w:val="525866"/>
          <w:sz w:val="22"/>
        </w:rPr>
        <w:t>Note: GXO Q1 2026 commentary covers January–March 2026 results with Q2 2026 forward guidance. SAIA, XPO, ODFL, AMZN, and CHRW Q1 2026 calls (reported April 29–30, May 6) all provided explicit Q2 2026 forward commentary applicable to UPS's current reporting quarter.</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completion of the Amazon glide-down and Ground Saver USPS transition by end of June</w:t>
      </w:r>
      <w:r>
        <w:rPr>
          <w:rFonts w:ascii="Calibri" w:hAnsi="Calibri"/>
          <w:color w:val="525866"/>
          <w:sz w:val="22"/>
        </w:rPr>
        <w:t xml:space="preserve"> — the two largest sources of Q1's one-time cost pressures are now definitively behind the company, setting up Q2 as the first clean quarter of the restructured network.</w:t>
      </w:r>
    </w:p>
    <w:p>
      <w:pPr>
        <w:pStyle w:val="ListBullet"/>
        <w:ind w:left="360" w:hanging="360"/>
      </w:pPr>
      <w:r>
        <w:rPr>
          <w:rFonts w:ascii="Calibri" w:hAnsi="Calibri"/>
          <w:b/>
          <w:color w:val="525866"/>
          <w:sz w:val="22"/>
        </w:rPr>
        <w:t xml:space="preserve">June 30, 2026 — Amazon Glide-Down Complete: </w:t>
      </w:r>
      <w:r>
        <w:rPr>
          <w:rFonts w:ascii="Calibri" w:hAnsi="Calibri"/>
          <w:color w:val="525866"/>
          <w:sz w:val="22"/>
        </w:rPr>
        <w:t xml:space="preserve">UPS completed its targeted 50% reduction in Amazon volume by end of June 2026, as guided. Amazon represented 8.8% of total revenue at end of Q1 (down from 13%+). This is the single most important structural milestone for the Q2 print — the network is now fully reconfigured around higher-margin SMB, B2B, and healthcare volume. </w:t>
      </w:r>
      <w:r>
        <w:rPr>
          <w:rFonts w:ascii="Calibri" w:hAnsi="Calibri"/>
          <w:i/>
          <w:color w:val="525866"/>
          <w:sz w:val="22"/>
        </w:rPr>
        <w:t>Implication: Q2 is the first quarter where the full cost savings from building closures, Driver Choice, and network optimization flow through without the drag of transitional costs.</w:t>
      </w:r>
    </w:p>
    <w:p>
      <w:pPr>
        <w:pStyle w:val="ListBullet"/>
        <w:ind w:left="360" w:hanging="360"/>
      </w:pPr>
      <w:r>
        <w:rPr>
          <w:rFonts w:ascii="Calibri" w:hAnsi="Calibri"/>
          <w:b/>
          <w:color w:val="525866"/>
          <w:sz w:val="22"/>
        </w:rPr>
        <w:t xml:space="preserve">June 30, 2026 — Ground Saver USPS Transition Complete: </w:t>
      </w:r>
      <w:r>
        <w:rPr>
          <w:rFonts w:ascii="Calibri" w:hAnsi="Calibri"/>
          <w:color w:val="525866"/>
          <w:sz w:val="22"/>
        </w:rPr>
        <w:t xml:space="preserve">The transition of Ground Saver last-mile delivery back to USPS was completed in Q2, eliminating the density and cost headwinds that contributed ~$350M in one-time pressures in Q1. </w:t>
      </w:r>
      <w:r>
        <w:rPr>
          <w:rFonts w:ascii="Calibri" w:hAnsi="Calibri"/>
          <w:i/>
          <w:color w:val="525866"/>
          <w:sz w:val="22"/>
        </w:rPr>
        <w:t>Implication: Purchased transportation costs should normalize in Q2, a key driver of the guided domestic margin recovery to 7.5%–8.5%.</w:t>
      </w:r>
    </w:p>
    <w:p>
      <w:pPr>
        <w:pStyle w:val="ListBullet"/>
        <w:ind w:left="360" w:hanging="360"/>
      </w:pPr>
      <w:r>
        <w:rPr>
          <w:rFonts w:ascii="Calibri" w:hAnsi="Calibri"/>
          <w:b/>
          <w:color w:val="525866"/>
          <w:sz w:val="22"/>
        </w:rPr>
        <w:t xml:space="preserve">May 2026 — Driver Choice Program Substantially Complete: </w:t>
      </w:r>
      <w:r>
        <w:rPr>
          <w:rFonts w:ascii="Calibri" w:hAnsi="Calibri"/>
          <w:color w:val="525866"/>
          <w:sz w:val="22"/>
        </w:rPr>
        <w:t xml:space="preserve">UPS's voluntary driver buyout program (targeting ~7,500 full-time driver positions) was 77% complete by April, with the majority of departures occurring in April. </w:t>
      </w:r>
      <w:r>
        <w:rPr>
          <w:rFonts w:ascii="Calibri" w:hAnsi="Calibri"/>
          <w:color w:val="525866"/>
          <w:sz w:val="22"/>
        </w:rPr>
        <w:t>Implication: Labor cost savings from the program should be fully reflected in Q2 results, a meaningful tailwind to cost per piece.</w:t>
      </w:r>
    </w:p>
    <w:p>
      <w:pPr>
        <w:pStyle w:val="ListBullet"/>
        <w:ind w:left="360" w:hanging="360"/>
      </w:pPr>
      <w:r>
        <w:rPr>
          <w:rFonts w:ascii="Calibri" w:hAnsi="Calibri"/>
          <w:b/>
          <w:color w:val="525866"/>
          <w:sz w:val="22"/>
        </w:rPr>
        <w:t xml:space="preserve">May 13, 2026 — Board Director Kevin Warsh Resigns to Chair Federal Reserve (8-K): </w:t>
      </w:r>
      <w:r>
        <w:rPr>
          <w:rFonts w:ascii="Calibri" w:hAnsi="Calibri"/>
          <w:color w:val="525866"/>
          <w:sz w:val="22"/>
        </w:rPr>
        <w:t xml:space="preserve">Kevin Warsh resigned from the UPS Board of Directors to assume the role of Federal Reserve Chair. </w:t>
      </w:r>
      <w:r>
        <w:rPr>
          <w:rFonts w:ascii="Calibri" w:hAnsi="Calibri"/>
          <w:i/>
          <w:color w:val="525866"/>
          <w:sz w:val="22"/>
        </w:rPr>
        <w:t>Implication: Minor governance disruption; no operational impact. Warsh's departure removes a high-profile board member but does not affect management's strategic direction.</w:t>
      </w:r>
    </w:p>
    <w:p>
      <w:pPr>
        <w:pStyle w:val="ListBullet"/>
        <w:ind w:left="360" w:hanging="360"/>
      </w:pPr>
      <w:r>
        <w:rPr>
          <w:rFonts w:ascii="Calibri" w:hAnsi="Calibri"/>
          <w:b/>
          <w:color w:val="525866"/>
          <w:sz w:val="22"/>
        </w:rPr>
        <w:t xml:space="preserve">June 15, 2026 — Board Director Eva Boratto Departs to Become CFO at Cencora (8-K): </w:t>
      </w:r>
      <w:r>
        <w:rPr>
          <w:rFonts w:ascii="Calibri" w:hAnsi="Calibri"/>
          <w:color w:val="525866"/>
          <w:sz w:val="22"/>
        </w:rPr>
        <w:t xml:space="preserve">Eva Boratto resigned from the UPS Board to assume the CFO role at Cencora. </w:t>
      </w:r>
      <w:r>
        <w:rPr>
          <w:rFonts w:ascii="Calibri" w:hAnsi="Calibri"/>
          <w:i/>
          <w:color w:val="525866"/>
          <w:sz w:val="22"/>
        </w:rPr>
        <w:t>Implication: Second board departure in two months; minor governance concern but no operational impact.</w:t>
      </w:r>
    </w:p>
    <w:p>
      <w:pPr>
        <w:pStyle w:val="ListBullet"/>
        <w:ind w:left="360" w:hanging="360"/>
      </w:pPr>
      <w:r>
        <w:rPr>
          <w:rFonts w:ascii="Calibri" w:hAnsi="Calibri"/>
          <w:b/>
          <w:color w:val="525866"/>
          <w:sz w:val="22"/>
        </w:rPr>
        <w:t xml:space="preserve">May 11, 2026 — Annual Shareholder Meeting (8-K): </w:t>
      </w:r>
      <w:r>
        <w:rPr>
          <w:rFonts w:ascii="Calibri" w:hAnsi="Calibri"/>
          <w:color w:val="525866"/>
          <w:sz w:val="22"/>
        </w:rPr>
        <w:t xml:space="preserve">UPS shareholders approved the company's incentive plan and re-elected the board, while rejecting governance and ESG proposals. </w:t>
      </w:r>
      <w:r>
        <w:rPr>
          <w:rFonts w:ascii="Calibri" w:hAnsi="Calibri"/>
          <w:i/>
          <w:color w:val="525866"/>
          <w:sz w:val="22"/>
        </w:rPr>
        <w:t>Implication: No material changes to compensation structure or governance; business as usual.</w:t>
      </w:r>
    </w:p>
    <w:p>
      <w:pPr>
        <w:pStyle w:val="ListBullet"/>
        <w:ind w:left="360" w:hanging="360"/>
      </w:pPr>
      <w:r>
        <w:rPr>
          <w:rFonts w:ascii="Calibri" w:hAnsi="Calibri"/>
          <w:b/>
          <w:color w:val="525866"/>
          <w:sz w:val="22"/>
        </w:rPr>
        <w:t xml:space="preserve">July 14, 2026 — Q2 2026 Earnings Date Announced: </w:t>
      </w:r>
      <w:r>
        <w:rPr>
          <w:rFonts w:ascii="Calibri" w:hAnsi="Calibri"/>
          <w:color w:val="525866"/>
          <w:sz w:val="22"/>
        </w:rPr>
        <w:t xml:space="preserve">UPS confirmed Q2 2026 results will be released on July 28, 2026. No pre-announcement or guidance update was issued alongside the announcement. </w:t>
      </w:r>
      <w:r>
        <w:rPr>
          <w:rFonts w:ascii="Calibri" w:hAnsi="Calibri"/>
          <w:i/>
          <w:color w:val="525866"/>
          <w:sz w:val="22"/>
        </w:rPr>
        <w:t>Implication: Absence of a pre-announcement is a mild positive signal — management did not feel compelled to warn on results.</w:t>
      </w:r>
    </w:p>
    <w:p>
      <w:pPr>
        <w:pStyle w:val="ListBullet"/>
        <w:ind w:left="360" w:hanging="360"/>
      </w:pPr>
      <w:r>
        <w:rPr>
          <w:rFonts w:ascii="Calibri" w:hAnsi="Calibri"/>
          <w:b/>
          <w:color w:val="525866"/>
          <w:sz w:val="22"/>
        </w:rPr>
        <w:t xml:space="preserve">July 15, 2026 — J.B. Hunt Q2 2026 Earnings (Peer Read-Through): </w:t>
      </w:r>
      <w:r>
        <w:rPr>
          <w:rFonts w:ascii="Calibri" w:hAnsi="Calibri"/>
          <w:color w:val="525866"/>
          <w:sz w:val="22"/>
        </w:rPr>
        <w:t xml:space="preserve">JBHT reported record intermodal volumes (+10% YoY) and the sharpest freight market tightening since 2021–2022, with spot rates surging and customers scrambling for capacity. UPS stock rallied to $117–$118 on July 16–17 following the JBHT print. </w:t>
      </w:r>
      <w:r>
        <w:rPr>
          <w:rFonts w:ascii="Calibri" w:hAnsi="Calibri"/>
          <w:i/>
          <w:color w:val="525866"/>
          <w:sz w:val="22"/>
        </w:rPr>
        <w:t>Implication: Strongest positive peer read-through for UPS's Q2 volume and pricing environment.</w:t>
      </w:r>
    </w:p>
    <w:p>
      <w:pPr>
        <w:pStyle w:val="ListBullet"/>
        <w:ind w:left="360" w:hanging="360"/>
      </w:pPr>
      <w:r>
        <w:rPr>
          <w:rFonts w:ascii="Calibri" w:hAnsi="Calibri"/>
          <w:b/>
          <w:color w:val="525866"/>
          <w:sz w:val="22"/>
        </w:rPr>
        <w:t xml:space="preserve">June 23, 2026 — FedEx Q4 FY2026 Earnings (Peer Read-Through): </w:t>
      </w:r>
      <w:r>
        <w:rPr>
          <w:rFonts w:ascii="Calibri" w:hAnsi="Calibri"/>
          <w:color w:val="525866"/>
          <w:sz w:val="22"/>
        </w:rPr>
        <w:t xml:space="preserve">FedEx reported FY26 revenue and adjusted operating income both up +8% YoY, with FEC package yield up +11% in Q4 and U.S. domestic volume up +3%. FedEx guided for 20% adjusted EPS growth in the June–December 2026 transition period. </w:t>
      </w:r>
      <w:r>
        <w:rPr>
          <w:rFonts w:ascii="Calibri" w:hAnsi="Calibri"/>
          <w:i/>
          <w:color w:val="525866"/>
          <w:sz w:val="22"/>
        </w:rPr>
        <w:t>Implication: Validates the pricing and volume recovery environment for UPS's Q2 and H2 2026.</w:t>
      </w:r>
    </w:p>
    <w:p>
      <w:pPr>
        <w:pStyle w:val="ListBullet"/>
        <w:ind w:left="360" w:hanging="360"/>
      </w:pPr>
      <w:r>
        <w:rPr>
          <w:rFonts w:ascii="Calibri" w:hAnsi="Calibri"/>
          <w:b/>
          <w:color w:val="525866"/>
          <w:sz w:val="22"/>
        </w:rPr>
        <w:t xml:space="preserve">Ongoing — Middle East Conflict / Fuel Cost Headwind: </w:t>
      </w:r>
      <w:r>
        <w:rPr>
          <w:rFonts w:ascii="Calibri" w:hAnsi="Calibri"/>
          <w:color w:val="525866"/>
          <w:sz w:val="22"/>
        </w:rPr>
        <w:t xml:space="preserve">Elevated fuel costs stemming from the Middle East conflict remain a watch item. UPS's fuel surcharges adjust weekly and are linked to published benchmarks, providing partial revenue offset. Management noted in Q1 that fuel surcharges provide coverage but are not a profit windfall. </w:t>
      </w:r>
      <w:r>
        <w:rPr>
          <w:rFonts w:ascii="Calibri" w:hAnsi="Calibri"/>
          <w:i/>
          <w:color w:val="525866"/>
          <w:sz w:val="22"/>
        </w:rPr>
        <w:t>Implication: Fuel is a margin headwind but largely pass-through; net impact on operating income is limited.</w:t>
      </w:r>
    </w:p>
    <w:p>
      <w:pPr>
        <w:pStyle w:val="ListBullet"/>
        <w:ind w:left="360" w:hanging="360"/>
      </w:pPr>
      <w:r>
        <w:rPr>
          <w:rFonts w:ascii="Calibri" w:hAnsi="Calibri"/>
          <w:b/>
          <w:color w:val="525866"/>
          <w:sz w:val="22"/>
        </w:rPr>
        <w:t xml:space="preserve">Ongoing — Healthcare Revenue Milestone: </w:t>
      </w:r>
      <w:r>
        <w:rPr>
          <w:rFonts w:ascii="Calibri" w:hAnsi="Calibri"/>
          <w:color w:val="525866"/>
          <w:sz w:val="22"/>
        </w:rPr>
        <w:t xml:space="preserve">UPS generated its first-ever $3B healthcare revenue quarter in Q1 2026, with all three segments delivering YoY growth. Healthcare has become a meaningful growth engine. </w:t>
      </w:r>
      <w:r>
        <w:rPr>
          <w:rFonts w:ascii="Calibri" w:hAnsi="Calibri"/>
          <w:i/>
          <w:color w:val="525866"/>
          <w:sz w:val="22"/>
        </w:rPr>
        <w:t>Implication: Healthcare is a structural tailwind for revenue quality and margin mix in Q2 and beyond.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filed since the Q1 2026 earnings date. All insider activity consists of routine equity compensation events (RSU vesting/withholding and annual RSU grants) — nothing unusual or directionally informative. The absence of any open-market purchases or discretionary sales is neutral.</w:t>
      </w:r>
    </w:p>
    <w:p>
      <w:r>
        <w:rPr>
          <w:rFonts w:ascii="Calibri" w:hAnsi="Calibri"/>
          <w:color w:val="525866"/>
          <w:sz w:val="22"/>
        </w:rPr>
        <w:t>All transactions filed between April 28, 2026 and July 27, 2026 are equity compensation-related (transaction codes A = award/grant, M = RSU conversion to shares, F = tax withholding). There are no open-market buys (code P) or open-market sells (code S) in the period. The table below summarizes the material compensation events.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Carol B. Tomé</w:t>
            </w:r>
          </w:p>
        </w:tc>
        <w:tc>
          <w:tcPr>
            <w:tcW w:type="dxa" w:w="1440"/>
          </w:tcPr>
          <w:p>
            <w:r>
              <w:rPr>
                <w:rFonts w:ascii="Calibri" w:hAnsi="Calibri"/>
                <w:sz w:val="22"/>
              </w:rPr>
              <w:t>CEO &amp; Director</w:t>
            </w:r>
          </w:p>
        </w:tc>
        <w:tc>
          <w:tcPr>
            <w:tcW w:type="dxa" w:w="1440"/>
          </w:tcPr>
          <w:p>
            <w:r>
              <w:rPr>
                <w:rFonts w:ascii="Calibri" w:hAnsi="Calibri"/>
                <w:sz w:val="22"/>
              </w:rPr>
              <w:t>RSU Grant (Award)</w:t>
            </w:r>
          </w:p>
        </w:tc>
        <w:tc>
          <w:tcPr>
            <w:tcW w:type="dxa" w:w="1440"/>
          </w:tcPr>
          <w:p>
            <w:r>
              <w:rPr>
                <w:rFonts w:ascii="Calibri" w:hAnsi="Calibri"/>
                <w:sz w:val="22"/>
              </w:rPr>
              <w:t>30,228</w:t>
            </w:r>
          </w:p>
        </w:tc>
        <w:tc>
          <w:tcPr>
            <w:tcW w:type="dxa" w:w="1440"/>
          </w:tcPr>
          <w:p>
            <w:r>
              <w:rPr>
                <w:rFonts w:ascii="Calibri" w:hAnsi="Calibri"/>
                <w:sz w:val="22"/>
              </w:rPr>
              <w:t>May 6, 2026</w:t>
            </w:r>
          </w:p>
        </w:tc>
        <w:tc>
          <w:tcPr>
            <w:tcW w:type="dxa" w:w="1440"/>
          </w:tcPr>
          <w:p>
            <w:r>
              <w:rPr>
                <w:rFonts w:ascii="Calibri" w:hAnsi="Calibri"/>
                <w:sz w:val="22"/>
              </w:rPr>
              <w:t>Annual RSU grant; 10b5-1 plan; routine compensation</w:t>
            </w:r>
          </w:p>
        </w:tc>
      </w:tr>
      <w:tr>
        <w:tc>
          <w:tcPr>
            <w:tcW w:type="dxa" w:w="1440"/>
          </w:tcPr>
          <w:p>
            <w:r>
              <w:rPr>
                <w:rFonts w:ascii="Calibri" w:hAnsi="Calibri"/>
                <w:sz w:val="22"/>
              </w:rPr>
              <w:t>Nando Cesarone</w:t>
            </w:r>
          </w:p>
        </w:tc>
        <w:tc>
          <w:tcPr>
            <w:tcW w:type="dxa" w:w="1440"/>
          </w:tcPr>
          <w:p>
            <w:r>
              <w:rPr>
                <w:rFonts w:ascii="Calibri" w:hAnsi="Calibri"/>
                <w:sz w:val="22"/>
              </w:rPr>
              <w:t>President, US Operations</w:t>
            </w:r>
          </w:p>
        </w:tc>
        <w:tc>
          <w:tcPr>
            <w:tcW w:type="dxa" w:w="1440"/>
          </w:tcPr>
          <w:p>
            <w:r>
              <w:rPr>
                <w:rFonts w:ascii="Calibri" w:hAnsi="Calibri"/>
                <w:sz w:val="22"/>
              </w:rPr>
              <w:t>RSU Grant (Award)</w:t>
            </w:r>
          </w:p>
        </w:tc>
        <w:tc>
          <w:tcPr>
            <w:tcW w:type="dxa" w:w="1440"/>
          </w:tcPr>
          <w:p>
            <w:r>
              <w:rPr>
                <w:rFonts w:ascii="Calibri" w:hAnsi="Calibri"/>
                <w:sz w:val="22"/>
              </w:rPr>
              <w:t>13,889</w:t>
            </w:r>
          </w:p>
        </w:tc>
        <w:tc>
          <w:tcPr>
            <w:tcW w:type="dxa" w:w="1440"/>
          </w:tcPr>
          <w:p>
            <w:r>
              <w:rPr>
                <w:rFonts w:ascii="Calibri" w:hAnsi="Calibri"/>
                <w:sz w:val="22"/>
              </w:rPr>
              <w:t>May 6, 2026</w:t>
            </w:r>
          </w:p>
        </w:tc>
        <w:tc>
          <w:tcPr>
            <w:tcW w:type="dxa" w:w="1440"/>
          </w:tcPr>
          <w:p>
            <w:r>
              <w:rPr>
                <w:rFonts w:ascii="Calibri" w:hAnsi="Calibri"/>
                <w:sz w:val="22"/>
              </w:rPr>
              <w:t>Annual RSU grant; 10b5-1 plan; routine compensation</w:t>
            </w:r>
          </w:p>
        </w:tc>
      </w:tr>
      <w:tr>
        <w:tc>
          <w:tcPr>
            <w:tcW w:type="dxa" w:w="1440"/>
          </w:tcPr>
          <w:p>
            <w:r>
              <w:rPr>
                <w:rFonts w:ascii="Calibri" w:hAnsi="Calibri"/>
                <w:sz w:val="22"/>
              </w:rPr>
              <w:t>Kathleen M. Gutmann</w:t>
            </w:r>
          </w:p>
        </w:tc>
        <w:tc>
          <w:tcPr>
            <w:tcW w:type="dxa" w:w="1440"/>
          </w:tcPr>
          <w:p>
            <w:r>
              <w:rPr>
                <w:rFonts w:ascii="Calibri" w:hAnsi="Calibri"/>
                <w:sz w:val="22"/>
              </w:rPr>
              <w:t>Pres. Intl, Healthcare &amp; SCS</w:t>
            </w:r>
          </w:p>
        </w:tc>
        <w:tc>
          <w:tcPr>
            <w:tcW w:type="dxa" w:w="1440"/>
          </w:tcPr>
          <w:p>
            <w:r>
              <w:rPr>
                <w:rFonts w:ascii="Calibri" w:hAnsi="Calibri"/>
                <w:sz w:val="22"/>
              </w:rPr>
              <w:t>RSU Grant (Award)</w:t>
            </w:r>
          </w:p>
        </w:tc>
        <w:tc>
          <w:tcPr>
            <w:tcW w:type="dxa" w:w="1440"/>
          </w:tcPr>
          <w:p>
            <w:r>
              <w:rPr>
                <w:rFonts w:ascii="Calibri" w:hAnsi="Calibri"/>
                <w:sz w:val="22"/>
              </w:rPr>
              <w:t>13,889</w:t>
            </w:r>
          </w:p>
        </w:tc>
        <w:tc>
          <w:tcPr>
            <w:tcW w:type="dxa" w:w="1440"/>
          </w:tcPr>
          <w:p>
            <w:r>
              <w:rPr>
                <w:rFonts w:ascii="Calibri" w:hAnsi="Calibri"/>
                <w:sz w:val="22"/>
              </w:rPr>
              <w:t>May 6, 2026</w:t>
            </w:r>
          </w:p>
        </w:tc>
        <w:tc>
          <w:tcPr>
            <w:tcW w:type="dxa" w:w="1440"/>
          </w:tcPr>
          <w:p>
            <w:r>
              <w:rPr>
                <w:rFonts w:ascii="Calibri" w:hAnsi="Calibri"/>
                <w:sz w:val="22"/>
              </w:rPr>
              <w:t>Annual RSU grant; 10b5-1 plan; routine compensation</w:t>
            </w:r>
          </w:p>
        </w:tc>
      </w:tr>
      <w:tr>
        <w:tc>
          <w:tcPr>
            <w:tcW w:type="dxa" w:w="1440"/>
          </w:tcPr>
          <w:p>
            <w:r>
              <w:rPr>
                <w:rFonts w:ascii="Calibri" w:hAnsi="Calibri"/>
                <w:sz w:val="22"/>
              </w:rPr>
              <w:t>Brian M. Dykes</w:t>
            </w:r>
          </w:p>
        </w:tc>
        <w:tc>
          <w:tcPr>
            <w:tcW w:type="dxa" w:w="1440"/>
          </w:tcPr>
          <w:p>
            <w:r>
              <w:rPr>
                <w:rFonts w:ascii="Calibri" w:hAnsi="Calibri"/>
                <w:sz w:val="22"/>
              </w:rPr>
              <w:t>Chief Financial Officer</w:t>
            </w:r>
          </w:p>
        </w:tc>
        <w:tc>
          <w:tcPr>
            <w:tcW w:type="dxa" w:w="1440"/>
          </w:tcPr>
          <w:p>
            <w:r>
              <w:rPr>
                <w:rFonts w:ascii="Calibri" w:hAnsi="Calibri"/>
                <w:sz w:val="22"/>
              </w:rPr>
              <w:t>RSU Grant (Award)</w:t>
            </w:r>
          </w:p>
        </w:tc>
        <w:tc>
          <w:tcPr>
            <w:tcW w:type="dxa" w:w="1440"/>
          </w:tcPr>
          <w:p>
            <w:r>
              <w:rPr>
                <w:rFonts w:ascii="Calibri" w:hAnsi="Calibri"/>
                <w:sz w:val="22"/>
              </w:rPr>
              <w:t>12,504</w:t>
            </w:r>
          </w:p>
        </w:tc>
        <w:tc>
          <w:tcPr>
            <w:tcW w:type="dxa" w:w="1440"/>
          </w:tcPr>
          <w:p>
            <w:r>
              <w:rPr>
                <w:rFonts w:ascii="Calibri" w:hAnsi="Calibri"/>
                <w:sz w:val="22"/>
              </w:rPr>
              <w:t>May 6, 2026</w:t>
            </w:r>
          </w:p>
        </w:tc>
        <w:tc>
          <w:tcPr>
            <w:tcW w:type="dxa" w:w="1440"/>
          </w:tcPr>
          <w:p>
            <w:r>
              <w:rPr>
                <w:rFonts w:ascii="Calibri" w:hAnsi="Calibri"/>
                <w:sz w:val="22"/>
              </w:rPr>
              <w:t>Annual RSU grant; routine compensation</w:t>
            </w:r>
          </w:p>
        </w:tc>
      </w:tr>
      <w:tr>
        <w:tc>
          <w:tcPr>
            <w:tcW w:type="dxa" w:w="1440"/>
          </w:tcPr>
          <w:p>
            <w:r>
              <w:rPr>
                <w:rFonts w:ascii="Calibri" w:hAnsi="Calibri"/>
                <w:sz w:val="22"/>
              </w:rPr>
              <w:t>Matthew W. Guffey</w:t>
            </w:r>
          </w:p>
        </w:tc>
        <w:tc>
          <w:tcPr>
            <w:tcW w:type="dxa" w:w="1440"/>
          </w:tcPr>
          <w:p>
            <w:r>
              <w:rPr>
                <w:rFonts w:ascii="Calibri" w:hAnsi="Calibri"/>
                <w:sz w:val="22"/>
              </w:rPr>
              <w:t>Chief Commercial &amp; Strategy Officer</w:t>
            </w:r>
          </w:p>
        </w:tc>
        <w:tc>
          <w:tcPr>
            <w:tcW w:type="dxa" w:w="1440"/>
          </w:tcPr>
          <w:p>
            <w:r>
              <w:rPr>
                <w:rFonts w:ascii="Calibri" w:hAnsi="Calibri"/>
                <w:sz w:val="22"/>
              </w:rPr>
              <w:t>RSU Grant (Award)</w:t>
            </w:r>
          </w:p>
        </w:tc>
        <w:tc>
          <w:tcPr>
            <w:tcW w:type="dxa" w:w="1440"/>
          </w:tcPr>
          <w:p>
            <w:r>
              <w:rPr>
                <w:rFonts w:ascii="Calibri" w:hAnsi="Calibri"/>
                <w:sz w:val="22"/>
              </w:rPr>
              <w:t>11,424</w:t>
            </w:r>
          </w:p>
        </w:tc>
        <w:tc>
          <w:tcPr>
            <w:tcW w:type="dxa" w:w="1440"/>
          </w:tcPr>
          <w:p>
            <w:r>
              <w:rPr>
                <w:rFonts w:ascii="Calibri" w:hAnsi="Calibri"/>
                <w:sz w:val="22"/>
              </w:rPr>
              <w:t>May 6, 2026</w:t>
            </w:r>
          </w:p>
        </w:tc>
        <w:tc>
          <w:tcPr>
            <w:tcW w:type="dxa" w:w="1440"/>
          </w:tcPr>
          <w:p>
            <w:r>
              <w:rPr>
                <w:rFonts w:ascii="Calibri" w:hAnsi="Calibri"/>
                <w:sz w:val="22"/>
              </w:rPr>
              <w:t>Annual RSU grant; routine compensation</w:t>
            </w:r>
          </w:p>
        </w:tc>
      </w:tr>
      <w:tr>
        <w:tc>
          <w:tcPr>
            <w:tcW w:type="dxa" w:w="1440"/>
          </w:tcPr>
          <w:p>
            <w:r>
              <w:rPr>
                <w:rFonts w:ascii="Calibri" w:hAnsi="Calibri"/>
                <w:sz w:val="22"/>
              </w:rPr>
              <w:t>Bala Subramanian</w:t>
            </w:r>
          </w:p>
        </w:tc>
        <w:tc>
          <w:tcPr>
            <w:tcW w:type="dxa" w:w="1440"/>
          </w:tcPr>
          <w:p>
            <w:r>
              <w:rPr>
                <w:rFonts w:ascii="Calibri" w:hAnsi="Calibri"/>
                <w:sz w:val="22"/>
              </w:rPr>
              <w:t>Chief Digital &amp; Technology Officer</w:t>
            </w:r>
          </w:p>
        </w:tc>
        <w:tc>
          <w:tcPr>
            <w:tcW w:type="dxa" w:w="1440"/>
          </w:tcPr>
          <w:p>
            <w:r>
              <w:rPr>
                <w:rFonts w:ascii="Calibri" w:hAnsi="Calibri"/>
                <w:sz w:val="22"/>
              </w:rPr>
              <w:t>RSU Grant (Award)</w:t>
            </w:r>
          </w:p>
        </w:tc>
        <w:tc>
          <w:tcPr>
            <w:tcW w:type="dxa" w:w="1440"/>
          </w:tcPr>
          <w:p>
            <w:r>
              <w:rPr>
                <w:rFonts w:ascii="Calibri" w:hAnsi="Calibri"/>
                <w:sz w:val="22"/>
              </w:rPr>
              <w:t>10,573</w:t>
            </w:r>
          </w:p>
        </w:tc>
        <w:tc>
          <w:tcPr>
            <w:tcW w:type="dxa" w:w="1440"/>
          </w:tcPr>
          <w:p>
            <w:r>
              <w:rPr>
                <w:rFonts w:ascii="Calibri" w:hAnsi="Calibri"/>
                <w:sz w:val="22"/>
              </w:rPr>
              <w:t>May 6, 2026</w:t>
            </w:r>
          </w:p>
        </w:tc>
        <w:tc>
          <w:tcPr>
            <w:tcW w:type="dxa" w:w="1440"/>
          </w:tcPr>
          <w:p>
            <w:r>
              <w:rPr>
                <w:rFonts w:ascii="Calibri" w:hAnsi="Calibri"/>
                <w:sz w:val="22"/>
              </w:rPr>
              <w:t>Annual RSU grant; 10b5-1 plan; routine compensation</w:t>
            </w:r>
          </w:p>
        </w:tc>
      </w:tr>
      <w:tr>
        <w:tc>
          <w:tcPr>
            <w:tcW w:type="dxa" w:w="1440"/>
          </w:tcPr>
          <w:p>
            <w:r>
              <w:rPr>
                <w:rFonts w:ascii="Calibri" w:hAnsi="Calibri"/>
                <w:sz w:val="22"/>
              </w:rPr>
              <w:t>Norman M. Brothers Jr.</w:t>
            </w:r>
          </w:p>
        </w:tc>
        <w:tc>
          <w:tcPr>
            <w:tcW w:type="dxa" w:w="1440"/>
          </w:tcPr>
          <w:p>
            <w:r>
              <w:rPr>
                <w:rFonts w:ascii="Calibri" w:hAnsi="Calibri"/>
                <w:sz w:val="22"/>
              </w:rPr>
              <w:t>Chief Legal &amp; Compliance Officer</w:t>
            </w:r>
          </w:p>
        </w:tc>
        <w:tc>
          <w:tcPr>
            <w:tcW w:type="dxa" w:w="1440"/>
          </w:tcPr>
          <w:p>
            <w:r>
              <w:rPr>
                <w:rFonts w:ascii="Calibri" w:hAnsi="Calibri"/>
                <w:sz w:val="22"/>
              </w:rPr>
              <w:t>RSU Grant (Award)</w:t>
            </w:r>
          </w:p>
        </w:tc>
        <w:tc>
          <w:tcPr>
            <w:tcW w:type="dxa" w:w="1440"/>
          </w:tcPr>
          <w:p>
            <w:r>
              <w:rPr>
                <w:rFonts w:ascii="Calibri" w:hAnsi="Calibri"/>
                <w:sz w:val="22"/>
              </w:rPr>
              <w:t>8,911</w:t>
            </w:r>
          </w:p>
        </w:tc>
        <w:tc>
          <w:tcPr>
            <w:tcW w:type="dxa" w:w="1440"/>
          </w:tcPr>
          <w:p>
            <w:r>
              <w:rPr>
                <w:rFonts w:ascii="Calibri" w:hAnsi="Calibri"/>
                <w:sz w:val="22"/>
              </w:rPr>
              <w:t>May 6, 2026</w:t>
            </w:r>
          </w:p>
        </w:tc>
        <w:tc>
          <w:tcPr>
            <w:tcW w:type="dxa" w:w="1440"/>
          </w:tcPr>
          <w:p>
            <w:r>
              <w:rPr>
                <w:rFonts w:ascii="Calibri" w:hAnsi="Calibri"/>
                <w:sz w:val="22"/>
              </w:rPr>
              <w:t>Annual RSU grant; routine compensation</w:t>
            </w:r>
          </w:p>
        </w:tc>
      </w:tr>
      <w:tr>
        <w:tc>
          <w:tcPr>
            <w:tcW w:type="dxa" w:w="1440"/>
          </w:tcPr>
          <w:p>
            <w:r>
              <w:rPr>
                <w:rFonts w:ascii="Calibri" w:hAnsi="Calibri"/>
                <w:sz w:val="22"/>
              </w:rPr>
              <w:t>Darrell L. Ford</w:t>
            </w:r>
          </w:p>
        </w:tc>
        <w:tc>
          <w:tcPr>
            <w:tcW w:type="dxa" w:w="1440"/>
          </w:tcPr>
          <w:p>
            <w:r>
              <w:rPr>
                <w:rFonts w:ascii="Calibri" w:hAnsi="Calibri"/>
                <w:sz w:val="22"/>
              </w:rPr>
              <w:t>Chief Human Resources Officer</w:t>
            </w:r>
          </w:p>
        </w:tc>
        <w:tc>
          <w:tcPr>
            <w:tcW w:type="dxa" w:w="1440"/>
          </w:tcPr>
          <w:p>
            <w:r>
              <w:rPr>
                <w:rFonts w:ascii="Calibri" w:hAnsi="Calibri"/>
                <w:sz w:val="22"/>
              </w:rPr>
              <w:t>RSU Grant (Award)</w:t>
            </w:r>
          </w:p>
        </w:tc>
        <w:tc>
          <w:tcPr>
            <w:tcW w:type="dxa" w:w="1440"/>
          </w:tcPr>
          <w:p>
            <w:r>
              <w:rPr>
                <w:rFonts w:ascii="Calibri" w:hAnsi="Calibri"/>
                <w:sz w:val="22"/>
              </w:rPr>
              <w:t>7,659</w:t>
            </w:r>
          </w:p>
        </w:tc>
        <w:tc>
          <w:tcPr>
            <w:tcW w:type="dxa" w:w="1440"/>
          </w:tcPr>
          <w:p>
            <w:r>
              <w:rPr>
                <w:rFonts w:ascii="Calibri" w:hAnsi="Calibri"/>
                <w:sz w:val="22"/>
              </w:rPr>
              <w:t>May 6, 2026</w:t>
            </w:r>
          </w:p>
        </w:tc>
        <w:tc>
          <w:tcPr>
            <w:tcW w:type="dxa" w:w="1440"/>
          </w:tcPr>
          <w:p>
            <w:r>
              <w:rPr>
                <w:rFonts w:ascii="Calibri" w:hAnsi="Calibri"/>
                <w:sz w:val="22"/>
              </w:rPr>
              <w:t>Annual RSU grant; 10b5-1 plan; routine compensation</w:t>
            </w:r>
          </w:p>
        </w:tc>
      </w:tr>
      <w:tr>
        <w:tc>
          <w:tcPr>
            <w:tcW w:type="dxa" w:w="1440"/>
          </w:tcPr>
          <w:p>
            <w:r>
              <w:rPr>
                <w:rFonts w:ascii="Calibri" w:hAnsi="Calibri"/>
                <w:sz w:val="22"/>
              </w:rPr>
              <w:t>Multiple Directors (Adkins, Boratto, Clark, Hewett, Hwang, Johnson, Moison, Morikis, Shi, Stokes, Warsh)</w:t>
            </w:r>
          </w:p>
        </w:tc>
        <w:tc>
          <w:tcPr>
            <w:tcW w:type="dxa" w:w="1440"/>
          </w:tcPr>
          <w:p>
            <w:r>
              <w:rPr>
                <w:rFonts w:ascii="Calibri" w:hAnsi="Calibri"/>
                <w:sz w:val="22"/>
              </w:rPr>
              <w:t>Board Directors</w:t>
            </w:r>
          </w:p>
        </w:tc>
        <w:tc>
          <w:tcPr>
            <w:tcW w:type="dxa" w:w="1440"/>
          </w:tcPr>
          <w:p>
            <w:r>
              <w:rPr>
                <w:rFonts w:ascii="Calibri" w:hAnsi="Calibri"/>
                <w:sz w:val="22"/>
              </w:rPr>
              <w:t>RSU Grant (Award)</w:t>
            </w:r>
          </w:p>
        </w:tc>
        <w:tc>
          <w:tcPr>
            <w:tcW w:type="dxa" w:w="1440"/>
          </w:tcPr>
          <w:p>
            <w:r>
              <w:rPr>
                <w:rFonts w:ascii="Calibri" w:hAnsi="Calibri"/>
                <w:sz w:val="22"/>
              </w:rPr>
              <w:t>1,948 each (2,647 for Johnson; 312 phantom units for Warsh)</w:t>
            </w:r>
          </w:p>
        </w:tc>
        <w:tc>
          <w:tcPr>
            <w:tcW w:type="dxa" w:w="1440"/>
          </w:tcPr>
          <w:p>
            <w:r>
              <w:rPr>
                <w:rFonts w:ascii="Calibri" w:hAnsi="Calibri"/>
                <w:sz w:val="22"/>
              </w:rPr>
              <w:t>May 7–8, 2026</w:t>
            </w:r>
          </w:p>
        </w:tc>
        <w:tc>
          <w:tcPr>
            <w:tcW w:type="dxa" w:w="1440"/>
          </w:tcPr>
          <w:p>
            <w:r>
              <w:rPr>
                <w:rFonts w:ascii="Calibri" w:hAnsi="Calibri"/>
                <w:sz w:val="22"/>
              </w:rPr>
              <w:t>Annual director RSU grants; routine board compensation</w:t>
            </w:r>
          </w:p>
        </w:tc>
      </w:tr>
      <w:tr>
        <w:tc>
          <w:tcPr>
            <w:tcW w:type="dxa" w:w="1440"/>
          </w:tcPr>
          <w:p>
            <w:r>
              <w:rPr>
                <w:rFonts w:ascii="Calibri" w:hAnsi="Calibri"/>
                <w:sz w:val="22"/>
              </w:rPr>
              <w:t>Multiple Officers (Brothers, Cesarone, Dykes, Ford, Guffey, Gutmann, Subramanian)</w:t>
            </w:r>
          </w:p>
        </w:tc>
        <w:tc>
          <w:tcPr>
            <w:tcW w:type="dxa" w:w="1440"/>
          </w:tcPr>
          <w:p>
            <w:r>
              <w:rPr>
                <w:rFonts w:ascii="Calibri" w:hAnsi="Calibri"/>
                <w:sz w:val="22"/>
              </w:rPr>
              <w:t>C-Suite Officers</w:t>
            </w:r>
          </w:p>
        </w:tc>
        <w:tc>
          <w:tcPr>
            <w:tcW w:type="dxa" w:w="1440"/>
          </w:tcPr>
          <w:p>
            <w:r>
              <w:rPr>
                <w:rFonts w:ascii="Calibri" w:hAnsi="Calibri"/>
                <w:sz w:val="22"/>
              </w:rPr>
              <w:t>RSU Vesting + Tax Withholding (M/F codes)</w:t>
            </w:r>
          </w:p>
        </w:tc>
        <w:tc>
          <w:tcPr>
            <w:tcW w:type="dxa" w:w="1440"/>
          </w:tcPr>
          <w:p>
            <w:r>
              <w:rPr>
                <w:rFonts w:ascii="Calibri" w:hAnsi="Calibri"/>
                <w:sz w:val="22"/>
              </w:rPr>
              <w:t>Various (1,000–3,500 shares withheld per person)</w:t>
            </w:r>
          </w:p>
        </w:tc>
        <w:tc>
          <w:tcPr>
            <w:tcW w:type="dxa" w:w="1440"/>
          </w:tcPr>
          <w:p>
            <w:r>
              <w:rPr>
                <w:rFonts w:ascii="Calibri" w:hAnsi="Calibri"/>
                <w:sz w:val="22"/>
              </w:rPr>
              <w:t>May 15, 2026</w:t>
            </w:r>
          </w:p>
        </w:tc>
        <w:tc>
          <w:tcPr>
            <w:tcW w:type="dxa" w:w="1440"/>
          </w:tcPr>
          <w:p>
            <w:r>
              <w:rPr>
                <w:rFonts w:ascii="Calibri" w:hAnsi="Calibri"/>
                <w:sz w:val="22"/>
              </w:rPr>
              <w:t>Routine RSU vesting; shares withheld for tax obligations; not discretionary sales</w:t>
            </w:r>
          </w:p>
        </w:tc>
      </w:tr>
    </w:tbl>
    <w:p>
      <w:r>
        <w:rPr>
          <w:rFonts w:ascii="Calibri" w:hAnsi="Calibri"/>
          <w:b/>
          <w:color w:val="525866"/>
          <w:sz w:val="22"/>
        </w:rPr>
        <w:t xml:space="preserve">Summary: </w:t>
      </w:r>
      <w:r>
        <w:rPr>
          <w:rFonts w:ascii="Calibri" w:hAnsi="Calibri"/>
          <w:color w:val="525866"/>
          <w:sz w:val="22"/>
        </w:rPr>
        <w:t>All insider activity since Q1 earnings is routine equity compensation — annual RSU grants (code A) and RSU vesting with tax withholding (codes M/F). There are zero open-market purchases or discretionary sales. The absence of any open-market buying is not unusual given the blackout period proximity to earnings, and the absence of discretionary selling is a mild positive signal. Nothing in the insider activity is directionally informative for the Q2 print.</w:t>
      </w:r>
    </w:p>
    <w:p>
      <w:r>
        <w:rPr>
          <w:rFonts w:ascii="Calibri" w:hAnsi="Calibri"/>
          <w:i/>
          <w:color w:val="525866"/>
          <w:sz w:val="22"/>
        </w:rPr>
        <w:t>Source: Insider Transaction Data (SEC Form 4 filings, April 28 – July 27,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