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-earnings-predictions--2026-07-28"/>
    <w:p>
      <w:pPr>
        <w:pStyle w:val="Heading1"/>
      </w:pPr>
      <w:r>
        <w:t xml:space="preserve">V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(FQ3'26)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3.28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3.23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 (FQ3'26)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11.50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11.36B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Cross-border volume growth ex-Europe cc (FQ3'26)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~+11% vs. cons ~+9-10%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net revenue growth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~low-teens (~+12-13%) vs. cons ~+12%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EPS growth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~low-teens (~</w:t>
            </w:r>
            <m:oMath>
              <m:r>
                <m:t>13.15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13.10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net revenue growth (re-accel)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~+1pt re-accel to ~low-teens vs. cons ~+12% (FQ4'26)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FQ3 opex growth guide (FIFA marketing)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~low-teens vs. cons ~low-teens (FQ3'26)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VAS growth durability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~+24-27% cc vs. framework ~16-18% (FQ3'26)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(STABILIZE)</w:t>
            </w:r>
          </w:p>
        </w:tc>
        <w:tc>
          <w:tcPr/>
          <w:p>
            <w:pPr>
              <w:pStyle w:val="Compact"/>
            </w:pPr>
            <w:r>
              <w:t xml:space="preserve">Likely modest EPS/revenue beat plus resilient cross-border (FIFA/travel recovery post-Ramadan) drives an initial pop, but Q3 is management's guided trough (higher incentives, tougher FX-volatility comp, tax rate stepping to ~18.5%) and the stock is near highs/richly positioned vs. a lagging MA, capping upside. A likely reaffirm/modest FY26 raise supports estimates rather than a big cut, so no sharp fade; out-period math (Q4 re-accel already in numbers) leaves little fresh upside to chase. Net: initial gain largely holds but drifts sideways.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2026-07-28T01:25:31Z</dcterms:created>
  <dcterms:modified xsi:type="dcterms:W3CDTF">2026-07-28T01:25:31Z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