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Visa (V) before writing the preview. Let me gather recent filings, transcripts, news, and price action.Let me read the most recent earnings call transcript (2026Q2) and earnings release to understand guidance and trends.I have strong Q2 FY26 detail and guidance. Now let me get the prior-year comparable (Q3 FY25) and current consensus/analyst expectations for tomorrow's report.Let me check analyst consensus estimates for tomorrow's report and any recent Visa-specific developments.# Visa (V) — Fiscal Q3 2026 Earnings Preview</w:t>
      </w:r>
    </w:p>
    <w:p>
      <w:pPr>
        <w:pStyle w:val="BodyText"/>
      </w:pPr>
      <w:r>
        <w:rPr>
          <w:b/>
          <w:bCs/>
        </w:rPr>
        <w:t xml:space="preserve">Report date:</w:t>
      </w:r>
      <w:r>
        <w:t xml:space="preserve"> </w:t>
      </w:r>
      <w:r>
        <w:t xml:space="preserve">Tuesday, July 28, 2026, after market close (fiscal Q3 2026, quarter ended June 30, 2026)</w:t>
      </w:r>
      <w:r>
        <w:t xml:space="preserve"> </w:t>
      </w:r>
      <w:r>
        <w:rPr>
          <w:b/>
          <w:bCs/>
        </w:rPr>
        <w:t xml:space="preserve">Call:</w:t>
      </w:r>
      <w:r>
        <w:t xml:space="preserve"> </w:t>
      </w:r>
      <w:r>
        <w:t xml:space="preserve">5:00 p.m. ET | Ryan McInerney (CEO), Chris Suh (CFO)</w:t>
      </w:r>
    </w:p>
    <w:p>
      <w:r>
        <w:pict>
          <v:rect style="width:0;height:1.5pt" o:hralign="center" o:hrstd="t" o:hr="t"/>
        </w:pict>
      </w:r>
    </w:p>
    <w:bookmarkStart w:id="9" w:name="the-setup-in-one-line"/>
    <w:p>
      <w:pPr>
        <w:pStyle w:val="Heading2"/>
      </w:pPr>
      <w:r>
        <w:t xml:space="preserve">The Setup in One Line</w:t>
      </w:r>
    </w:p>
    <w:p>
      <w:pPr>
        <w:pStyle w:val="FirstParagraph"/>
      </w:pPr>
      <w:r>
        <w:t xml:space="preserve">Visa comes into this print off a blowout Q2 (its strongest revenue quarter since 2022), but management has explicitly framed</w:t>
      </w:r>
      <w:r>
        <w:t xml:space="preserve"> </w:t>
      </w:r>
      <w:r>
        <w:rPr>
          <w:b/>
          <w:bCs/>
        </w:rPr>
        <w:t xml:space="preserve">Q3 as the</w:t>
      </w:r>
      <w:r>
        <w:rPr>
          <w:b/>
          <w:bCs/>
        </w:rPr>
        <w:t xml:space="preserve"> </w:t>
      </w:r>
      <w:r>
        <w:rPr>
          <w:b/>
          <w:bCs/>
          <w:i/>
          <w:iCs/>
        </w:rPr>
        <w:t xml:space="preserve">slowest</w:t>
      </w:r>
      <w:r>
        <w:rPr>
          <w:b/>
          <w:bCs/>
        </w:rPr>
        <w:t xml:space="preserve"> </w:t>
      </w:r>
      <w:r>
        <w:rPr>
          <w:b/>
          <w:bCs/>
        </w:rPr>
        <w:t xml:space="preserve">growth quarter of fiscal 2026</w:t>
      </w:r>
      <w:r>
        <w:t xml:space="preserve"> </w:t>
      </w:r>
      <w:r>
        <w:t xml:space="preserve">— so the debate isn't whether growth decelerates (it's guided to), but whether the underlying drivers stay resilient and whether the FIFA World Cup tailwind and second-half pricing show up as promised.</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Q3 FY26 Consensus</w:t>
            </w:r>
          </w:p>
        </w:tc>
        <w:tc>
          <w:tcPr/>
          <w:p>
            <w:pPr>
              <w:pStyle w:val="Compact"/>
            </w:pPr>
            <w:r>
              <w:t xml:space="preserve">Q3 FY25 Actual</w:t>
            </w:r>
          </w:p>
        </w:tc>
        <w:tc>
          <w:tcPr/>
          <w:p>
            <w:pPr>
              <w:pStyle w:val="Compact"/>
            </w:pPr>
            <w:r>
              <w:t xml:space="preserve">Implied YoY</w:t>
            </w:r>
          </w:p>
        </w:tc>
      </w:tr>
      <w:tr>
        <w:tc>
          <w:tcPr/>
          <w:p>
            <w:pPr>
              <w:pStyle w:val="Compact"/>
            </w:pPr>
            <w:r>
              <w:t xml:space="preserve">Net revenue</w:t>
            </w:r>
          </w:p>
        </w:tc>
        <w:tc>
          <w:tcPr/>
          <w:p>
            <w:pPr>
              <w:pStyle w:val="Compact"/>
            </w:pPr>
            <w:r>
              <w:t xml:space="preserve">~$11.35–11.38B</w:t>
            </w:r>
          </w:p>
        </w:tc>
        <w:tc>
          <w:tcPr/>
          <w:p>
            <w:pPr>
              <w:pStyle w:val="Compact"/>
            </w:pPr>
            <w:r>
              <w:t xml:space="preserve">$10.17B</w:t>
            </w:r>
          </w:p>
        </w:tc>
        <w:tc>
          <w:tcPr/>
          <w:p>
            <w:pPr>
              <w:pStyle w:val="Compact"/>
            </w:pPr>
            <w:r>
              <w:t xml:space="preserve">~+11–12%</w:t>
            </w:r>
          </w:p>
        </w:tc>
      </w:tr>
      <w:tr>
        <w:tc>
          <w:tcPr/>
          <w:p>
            <w:pPr>
              <w:pStyle w:val="Compact"/>
            </w:pPr>
            <w:r>
              <w:t xml:space="preserve">Non-GAAP EPS</w:t>
            </w:r>
          </w:p>
        </w:tc>
        <w:tc>
          <w:tcPr/>
          <w:p>
            <w:pPr>
              <w:pStyle w:val="Compact"/>
            </w:pPr>
            <w:r>
              <w:t xml:space="preserve">~$3.22–3.23</w:t>
            </w:r>
          </w:p>
        </w:tc>
        <w:tc>
          <w:tcPr/>
          <w:p>
            <w:pPr>
              <w:pStyle w:val="Compact"/>
            </w:pPr>
            <w:r>
              <w:t xml:space="preserve">$2.98</w:t>
            </w:r>
          </w:p>
        </w:tc>
        <w:tc>
          <w:tcPr/>
          <w:p>
            <w:pPr>
              <w:pStyle w:val="Compact"/>
            </w:pPr>
            <w:r>
              <w:t xml:space="preserve">~+8%</w:t>
            </w:r>
          </w:p>
        </w:tc>
      </w:tr>
    </w:tbl>
    <w:p>
      <w:pPr>
        <w:pStyle w:val="Compact"/>
        <w:numPr>
          <w:ilvl w:val="0"/>
          <w:numId w:val="1001"/>
        </w:numPr>
      </w:pPr>
      <w:r>
        <w:t xml:space="preserve">Consensus lands around</w:t>
      </w:r>
      <w:r>
        <w:t xml:space="preserve"> </w:t>
      </w:r>
      <m:oMath>
        <m:r>
          <m:t>3.22</m:t>
        </m:r>
        <m:r>
          <m:rPr>
            <m:sty m:val="p"/>
          </m:rPr>
          <m:t>–</m:t>
        </m:r>
        <m:r>
          <m:t>3.23</m:t>
        </m:r>
        <m:r>
          <m:t>E</m:t>
        </m:r>
        <m:r>
          <m:t>P</m:t>
        </m:r>
        <m:r>
          <m:t>S</m:t>
        </m:r>
        <m:r>
          <m:t>o</m:t>
        </m:r>
        <m:r>
          <m:t>n</m:t>
        </m:r>
        <m:r>
          <m:t> </m:t>
        </m:r>
      </m:oMath>
      <w:r>
        <w:rPr>
          <w:b/>
          <w:bCs/>
        </w:rPr>
        <w:t xml:space="preserve">11.35B revenue</w:t>
      </w:r>
      <w:r>
        <w:t xml:space="preserve">, roughly +8% EPS and low-double-digit revenue growth — consistent with the company's own April guide (Q3 net revenue "low double digits," EPS growth "mid- to high-single digits").</w:t>
      </w:r>
    </w:p>
    <w:p>
      <w:pPr>
        <w:pStyle w:val="Compact"/>
        <w:numPr>
          <w:ilvl w:val="0"/>
          <w:numId w:val="1001"/>
        </w:numPr>
      </w:pPr>
      <w:r>
        <w:t xml:space="preserve">Visa has</w:t>
      </w:r>
      <w:r>
        <w:t xml:space="preserve"> </w:t>
      </w:r>
      <w:r>
        <w:rPr>
          <w:b/>
          <w:bCs/>
        </w:rPr>
        <w:t xml:space="preserve">beaten EPS in each of the last four quarters</w:t>
      </w:r>
      <w:r>
        <w:t xml:space="preserve">, and full-year FY26 EPS consensus sits around $13.10 (~+14% vs. FY25), so the bar for "in-line" is well understood.</w:t>
      </w:r>
    </w:p>
    <w:p>
      <w:r>
        <w:pict>
          <v:rect style="width:0;height:1.5pt" o:hralign="center" o:hrstd="t" o:hr="t"/>
        </w:pict>
      </w:r>
    </w:p>
    <w:bookmarkEnd w:id="10"/>
    <w:bookmarkStart w:id="11" w:name="Xcb30b6659f52b4db8e1223f924e29373d102d8b"/>
    <w:p>
      <w:pPr>
        <w:pStyle w:val="Heading2"/>
      </w:pPr>
      <w:r>
        <w:t xml:space="preserve">Why Q3 Is</w:t>
      </w:r>
      <w:r>
        <w:t xml:space="preserve"> </w:t>
      </w:r>
      <w:r>
        <w:rPr>
          <w:i/>
          <w:iCs/>
        </w:rPr>
        <w:t xml:space="preserve">Designed</w:t>
      </w:r>
      <w:r>
        <w:t xml:space="preserve"> </w:t>
      </w:r>
      <w:r>
        <w:t xml:space="preserve">to Look Like the Trough</w:t>
      </w:r>
    </w:p>
    <w:p>
      <w:pPr>
        <w:pStyle w:val="FirstParagraph"/>
      </w:pPr>
      <w:r>
        <w:t xml:space="preserve">On the Q2 call, CFO Chris Suh laid out exactly why the growth rate steps down sequentially from Q2's +17%:</w:t>
      </w:r>
    </w:p>
    <w:p>
      <w:pPr>
        <w:pStyle w:val="Compact"/>
        <w:numPr>
          <w:ilvl w:val="0"/>
          <w:numId w:val="1002"/>
        </w:numPr>
      </w:pPr>
      <w:r>
        <w:rPr>
          <w:b/>
          <w:bCs/>
        </w:rPr>
        <w:t xml:space="preserve">Incentives step up</w:t>
      </w:r>
      <w:r>
        <w:t xml:space="preserve"> </w:t>
      </w:r>
      <w:r>
        <w:t xml:space="preserve">— Visa laps Q3 FY25, which was the</w:t>
      </w:r>
      <w:r>
        <w:t xml:space="preserve"> </w:t>
      </w:r>
      <w:r>
        <w:rPr>
          <w:i/>
          <w:iCs/>
        </w:rPr>
        <w:t xml:space="preserve">low point</w:t>
      </w:r>
      <w:r>
        <w:t xml:space="preserve"> </w:t>
      </w:r>
      <w:r>
        <w:t xml:space="preserve">for client-incentive growth last year, plus deal-timing effects. Higher incentives compress net revenue.</w:t>
      </w:r>
    </w:p>
    <w:p>
      <w:pPr>
        <w:pStyle w:val="Compact"/>
        <w:numPr>
          <w:ilvl w:val="0"/>
          <w:numId w:val="1002"/>
        </w:numPr>
      </w:pPr>
      <w:r>
        <w:rPr>
          <w:b/>
          <w:bCs/>
        </w:rPr>
        <w:t xml:space="preserve">Volatility normalizes lower</w:t>
      </w:r>
      <w:r>
        <w:t xml:space="preserve"> </w:t>
      </w:r>
      <w:r>
        <w:t xml:space="preserve">— Q3 comps against the</w:t>
      </w:r>
      <w:r>
        <w:t xml:space="preserve"> </w:t>
      </w:r>
      <w:r>
        <w:rPr>
          <w:i/>
          <w:iCs/>
        </w:rPr>
        <w:t xml:space="preserve">highest</w:t>
      </w:r>
      <w:r>
        <w:t xml:space="preserve"> </w:t>
      </w:r>
      <w:r>
        <w:t xml:space="preserve">FX volatility quarter of last year, so international-transaction revenue loses a tailwind.</w:t>
      </w:r>
    </w:p>
    <w:p>
      <w:pPr>
        <w:pStyle w:val="Compact"/>
        <w:numPr>
          <w:ilvl w:val="0"/>
          <w:numId w:val="1002"/>
        </w:numPr>
      </w:pPr>
      <w:r>
        <w:rPr>
          <w:b/>
          <w:bCs/>
        </w:rPr>
        <w:t xml:space="preserve">Partial offset: second-half-weighted pricing</w:t>
      </w:r>
      <w:r>
        <w:t xml:space="preserve"> </w:t>
      </w:r>
      <w:r>
        <w:t xml:space="preserve">goes into effect, cushioning the above.</w:t>
      </w:r>
    </w:p>
    <w:p>
      <w:pPr>
        <w:pStyle w:val="FirstParagraph"/>
      </w:pPr>
      <w:r>
        <w:t xml:space="preserve">Management then guided an</w:t>
      </w:r>
      <w:r>
        <w:t xml:space="preserve"> </w:t>
      </w:r>
      <w:r>
        <w:rPr>
          <w:b/>
          <w:bCs/>
        </w:rPr>
        <w:t xml:space="preserve">~1-point re-acceleration from Q3 to Q4</w:t>
      </w:r>
      <w:r>
        <w:t xml:space="preserve">, so a soft-looking Q3 is the expected shape of the year — not a red flag by itself. The key is whether the</w:t>
      </w:r>
      <w:r>
        <w:t xml:space="preserve"> </w:t>
      </w:r>
      <w:r>
        <w:rPr>
          <w:i/>
          <w:iCs/>
        </w:rPr>
        <w:t xml:space="preserve">drivers</w:t>
      </w:r>
      <w:r>
        <w:t xml:space="preserve"> </w:t>
      </w:r>
      <w:r>
        <w:t xml:space="preserve">(volume, cross-border, VAS) hold up underneath the optics.</w:t>
      </w:r>
    </w:p>
    <w:p>
      <w:r>
        <w:pict>
          <v:rect style="width:0;height:1.5pt" o:hralign="center" o:hrstd="t" o:hr="t"/>
        </w:pict>
      </w:r>
    </w:p>
    <w:bookmarkEnd w:id="11"/>
    <w:bookmarkStart w:id="16" w:name="the-numbers-that-actually-matter"/>
    <w:p>
      <w:pPr>
        <w:pStyle w:val="Heading2"/>
      </w:pPr>
      <w:r>
        <w:t xml:space="preserve">The Numbers That Actually Matter</w:t>
      </w:r>
    </w:p>
    <w:bookmarkStart w:id="12" w:name="X787de29cb02560022709e180452a016e4d0a3d2"/>
    <w:p>
      <w:pPr>
        <w:pStyle w:val="Heading3"/>
      </w:pPr>
      <w:r>
        <w:t xml:space="preserve">1. Payments volume &amp; the U.S. consumer</w:t>
      </w:r>
    </w:p>
    <w:p>
      <w:pPr>
        <w:pStyle w:val="FirstParagraph"/>
      </w:pPr>
      <w:r>
        <w:t xml:space="preserve">Q2 showed</w:t>
      </w:r>
      <w:r>
        <w:t xml:space="preserve"> </w:t>
      </w:r>
      <w:r>
        <w:rPr>
          <w:b/>
          <w:bCs/>
        </w:rPr>
        <w:t xml:space="preserve">U.S. payments volume +8%</w:t>
      </w:r>
      <w:r>
        <w:t xml:space="preserve"> </w:t>
      </w:r>
      <w:r>
        <w:t xml:space="preserve">accelerating (credit +10%, debit +7%), with management stressing they "do not see signs of the lower-spend consumer weakening." Through April 21, U.S. volume had firmed further to +9%.</w:t>
      </w:r>
      <w:r>
        <w:t xml:space="preserve"> </w:t>
      </w:r>
      <w:r>
        <w:rPr>
          <w:b/>
          <w:bCs/>
        </w:rPr>
        <w:t xml:space="preserve">Watch:</w:t>
      </w:r>
      <w:r>
        <w:t xml:space="preserve"> </w:t>
      </w:r>
      <w:r>
        <w:t xml:space="preserve">whether the resilient-consumer narrative persists, especially at the low end, and any read on tax-refund/discretionary trends.</w:t>
      </w:r>
    </w:p>
    <w:bookmarkEnd w:id="12"/>
    <w:bookmarkStart w:id="13" w:name="Xa7006652c9d31673c3aec602898f305695cf120"/>
    <w:p>
      <w:pPr>
        <w:pStyle w:val="Heading3"/>
      </w:pPr>
      <w:r>
        <w:t xml:space="preserve">2. Cross-border — the margin engine</w:t>
      </w:r>
    </w:p>
    <w:p>
      <w:pPr>
        <w:pStyle w:val="FirstParagraph"/>
      </w:pPr>
      <w:r>
        <w:t xml:space="preserve">This is the single most important line. Q2 cross-border (ex-intra-Europe) grew</w:t>
      </w:r>
      <w:r>
        <w:t xml:space="preserve"> </w:t>
      </w:r>
      <w:r>
        <w:rPr>
          <w:b/>
          <w:bCs/>
        </w:rPr>
        <w:t xml:space="preserve">+11%</w:t>
      </w:r>
      <w:r>
        <w:t xml:space="preserve">, but the early-Q3 read (through April 21) had</w:t>
      </w:r>
      <w:r>
        <w:t xml:space="preserve"> </w:t>
      </w:r>
      <w:r>
        <w:rPr>
          <w:b/>
          <w:bCs/>
        </w:rPr>
        <w:t xml:space="preserve">ticked down to +9%</w:t>
      </w:r>
      <w:r>
        <w:t xml:space="preserve">, dragged by the Middle East conflict (CEMEA is ~6% of volume, and saw a ~2.5-point step-down) and Ramadan timing. Management insisted that, normalized for Ramadan, trends were back to ~February levels.</w:t>
      </w:r>
    </w:p>
    <w:p>
      <w:pPr>
        <w:pStyle w:val="Compact"/>
        <w:numPr>
          <w:ilvl w:val="0"/>
          <w:numId w:val="1003"/>
        </w:numPr>
      </w:pPr>
      <w:r>
        <w:rPr>
          <w:b/>
          <w:bCs/>
        </w:rPr>
        <w:t xml:space="preserve">Watch:</w:t>
      </w:r>
      <w:r>
        <w:t xml:space="preserve"> </w:t>
      </w:r>
      <w:r>
        <w:t xml:space="preserve">the recovery trajectory, whether Middle East softness lingered, and the split between resilient</w:t>
      </w:r>
      <w:r>
        <w:t xml:space="preserve"> </w:t>
      </w:r>
      <w:r>
        <w:rPr>
          <w:b/>
          <w:bCs/>
        </w:rPr>
        <w:t xml:space="preserve">cross-border e-commerce</w:t>
      </w:r>
      <w:r>
        <w:t xml:space="preserve"> </w:t>
      </w:r>
      <w:r>
        <w:t xml:space="preserve">(+13% in Q2, now a bigger share than travel) vs.</w:t>
      </w:r>
      <w:r>
        <w:t xml:space="preserve"> </w:t>
      </w:r>
      <w:r>
        <w:rPr>
          <w:b/>
          <w:bCs/>
        </w:rPr>
        <w:t xml:space="preserve">travel</w:t>
      </w:r>
      <w:r>
        <w:t xml:space="preserve"> </w:t>
      </w:r>
      <w:r>
        <w:t xml:space="preserve">(+10%).</w:t>
      </w:r>
    </w:p>
    <w:bookmarkEnd w:id="13"/>
    <w:bookmarkStart w:id="14" w:name="X482ff3f99238e17385c4df4f6f6700278f8be16"/>
    <w:p>
      <w:pPr>
        <w:pStyle w:val="Heading3"/>
      </w:pPr>
      <w:r>
        <w:t xml:space="preserve">3. FIFA World Cup 2026 — the swing factor</w:t>
      </w:r>
    </w:p>
    <w:p>
      <w:pPr>
        <w:pStyle w:val="FirstParagraph"/>
      </w:pPr>
      <w:r>
        <w:t xml:space="preserve">The tournament (U.S./Canada/Mexico, June 11–July 19, 2026) straddles Q3 and Q4. It is central to two things:</w:t>
      </w:r>
      <w:r>
        <w:t xml:space="preserve"> </w:t>
      </w:r>
      <w:r>
        <w:rPr>
          <w:b/>
          <w:bCs/>
        </w:rPr>
        <w:t xml:space="preserve">inbound cross-border travel</w:t>
      </w:r>
      <w:r>
        <w:t xml:space="preserve"> </w:t>
      </w:r>
      <w:r>
        <w:t xml:space="preserve">to the Americas and a spike in</w:t>
      </w:r>
      <w:r>
        <w:t xml:space="preserve"> </w:t>
      </w:r>
      <w:r>
        <w:rPr>
          <w:b/>
          <w:bCs/>
        </w:rPr>
        <w:t xml:space="preserve">marketing-services (VAS) revenue</w:t>
      </w:r>
      <w:r>
        <w:t xml:space="preserve"> </w:t>
      </w:r>
      <w:r>
        <w:t xml:space="preserve">from client activations. Management already cited campaigns generating incremental, high-margin VAS revenue.</w:t>
      </w:r>
      <w:r>
        <w:t xml:space="preserve"> </w:t>
      </w:r>
      <w:r>
        <w:rPr>
          <w:b/>
          <w:bCs/>
        </w:rPr>
        <w:t xml:space="preserve">Watch:</w:t>
      </w:r>
      <w:r>
        <w:t xml:space="preserve"> </w:t>
      </w:r>
      <w:r>
        <w:t xml:space="preserve">early inbound-travel data and how much FIFA is lifting VAS/marketing services — and the corresponding step-up in marketing opex.</w:t>
      </w:r>
    </w:p>
    <w:bookmarkEnd w:id="14"/>
    <w:bookmarkStart w:id="15" w:name="Xb48f8ba12fd51ae94d1b6441ef37e611806051a"/>
    <w:p>
      <w:pPr>
        <w:pStyle w:val="Heading3"/>
      </w:pPr>
      <w:r>
        <w:t xml:space="preserve">4. Value-Added Services (VAS) &amp; Commercial/Money Movement (CMS)</w:t>
      </w:r>
    </w:p>
    <w:p>
      <w:pPr>
        <w:pStyle w:val="FirstParagraph"/>
      </w:pPr>
      <w:r>
        <w:t xml:space="preserve">The two "growth pillars" are running well above the 16–18% medium-term Investor Day framework:</w:t>
      </w:r>
    </w:p>
    <w:p>
      <w:pPr>
        <w:pStyle w:val="Compact"/>
        <w:numPr>
          <w:ilvl w:val="0"/>
          <w:numId w:val="1004"/>
        </w:numPr>
      </w:pPr>
      <w:r>
        <w:rPr>
          <w:b/>
          <w:bCs/>
        </w:rPr>
        <w:t xml:space="preserve">VAS +27%</w:t>
      </w:r>
      <w:r>
        <w:t xml:space="preserve"> </w:t>
      </w:r>
      <w:r>
        <w:t xml:space="preserve">cc in Q2 (now ~30% of net revenue), broad-based across network products, risk/security, and marketing services.</w:t>
      </w:r>
    </w:p>
    <w:p>
      <w:pPr>
        <w:pStyle w:val="Compact"/>
        <w:numPr>
          <w:ilvl w:val="0"/>
          <w:numId w:val="1004"/>
        </w:numPr>
      </w:pPr>
      <w:r>
        <w:rPr>
          <w:b/>
          <w:bCs/>
        </w:rPr>
        <w:t xml:space="preserve">CMS +24%</w:t>
      </w:r>
      <w:r>
        <w:t xml:space="preserve"> </w:t>
      </w:r>
      <w:r>
        <w:t xml:space="preserve">cc, though management flagged that some of that was one-time (performance adjustments, deal timing) and shouldn't fully recur.</w:t>
      </w:r>
    </w:p>
    <w:p>
      <w:pPr>
        <w:pStyle w:val="Compact"/>
        <w:numPr>
          <w:ilvl w:val="0"/>
          <w:numId w:val="1004"/>
        </w:numPr>
      </w:pPr>
      <w:r>
        <w:rPr>
          <w:b/>
          <w:bCs/>
        </w:rPr>
        <w:t xml:space="preserve">Watch:</w:t>
      </w:r>
      <w:r>
        <w:t xml:space="preserve"> </w:t>
      </w:r>
      <w:r>
        <w:t xml:space="preserve">durability of VAS growth ex-FIFA, and whether CMS normalizes lower as the one-timers roll off. Visa Direct transactions (+23% in Q2) are also a key money-movement gauge.</w:t>
      </w:r>
    </w:p>
    <w:p>
      <w:r>
        <w:pict>
          <v:rect style="width:0;height:1.5pt" o:hralign="center" o:hrstd="t" o:hr="t"/>
        </w:pict>
      </w:r>
    </w:p>
    <w:bookmarkEnd w:id="15"/>
    <w:bookmarkEnd w:id="16"/>
    <w:bookmarkStart w:id="17" w:name="expense--capital-return-watch"/>
    <w:p>
      <w:pPr>
        <w:pStyle w:val="Heading2"/>
      </w:pPr>
      <w:r>
        <w:t xml:space="preserve">Expense &amp; Capital-Return Watch</w:t>
      </w:r>
    </w:p>
    <w:p>
      <w:pPr>
        <w:pStyle w:val="Compact"/>
        <w:numPr>
          <w:ilvl w:val="0"/>
          <w:numId w:val="1005"/>
        </w:numPr>
      </w:pPr>
      <w:r>
        <w:rPr>
          <w:b/>
          <w:bCs/>
        </w:rPr>
        <w:t xml:space="preserve">Opex</w:t>
      </w:r>
      <w:r>
        <w:t xml:space="preserve"> </w:t>
      </w:r>
      <w:r>
        <w:t xml:space="preserve">was guided to</w:t>
      </w:r>
      <w:r>
        <w:t xml:space="preserve"> </w:t>
      </w:r>
      <w:r>
        <w:rPr>
          <w:b/>
          <w:bCs/>
        </w:rPr>
        <w:t xml:space="preserve">low-teens</w:t>
      </w:r>
      <w:r>
        <w:t xml:space="preserve"> </w:t>
      </w:r>
      <w:r>
        <w:t xml:space="preserve">growth in Q3, a step up from Q2, driven mostly by FIFA marketing — framed as high-yielding spend, but it will pressure near-term margins.</w:t>
      </w:r>
    </w:p>
    <w:p>
      <w:pPr>
        <w:pStyle w:val="Compact"/>
        <w:numPr>
          <w:ilvl w:val="0"/>
          <w:numId w:val="1005"/>
        </w:numPr>
      </w:pPr>
      <w:r>
        <w:rPr>
          <w:b/>
          <w:bCs/>
        </w:rPr>
        <w:t xml:space="preserve">Non-operating expense</w:t>
      </w:r>
      <w:r>
        <w:t xml:space="preserve"> </w:t>
      </w:r>
      <w:r>
        <w:t xml:space="preserve">~$55M and</w:t>
      </w:r>
      <w:r>
        <w:t xml:space="preserve"> </w:t>
      </w:r>
      <w:r>
        <w:rPr>
          <w:b/>
          <w:bCs/>
        </w:rPr>
        <w:t xml:space="preserve">tax rate ~18.5%</w:t>
      </w:r>
      <w:r>
        <w:t xml:space="preserve"> </w:t>
      </w:r>
      <w:r>
        <w:t xml:space="preserve">per guidance (note tax rate steps up meaningfully from Q2's 16.4%, a headwind to reported EPS growth). Rising</w:t>
      </w:r>
      <w:r>
        <w:t xml:space="preserve"> </w:t>
      </w:r>
      <w:r>
        <w:rPr>
          <w:b/>
          <w:bCs/>
        </w:rPr>
        <w:t xml:space="preserve">debt levels</w:t>
      </w:r>
      <w:r>
        <w:t xml:space="preserve"> </w:t>
      </w:r>
      <w:r>
        <w:t xml:space="preserve">(Visa issued $3B of notes in February) are lifting interest expense.</w:t>
      </w:r>
    </w:p>
    <w:p>
      <w:pPr>
        <w:pStyle w:val="Compact"/>
        <w:numPr>
          <w:ilvl w:val="0"/>
          <w:numId w:val="1005"/>
        </w:numPr>
      </w:pPr>
      <w:r>
        <w:rPr>
          <w:b/>
          <w:bCs/>
        </w:rPr>
        <w:t xml:space="preserve">Capital return:</w:t>
      </w:r>
      <w:r>
        <w:t xml:space="preserve"> </w:t>
      </w:r>
      <w:r>
        <w:t xml:space="preserve">Q2 featured a</w:t>
      </w:r>
      <w:r>
        <w:t xml:space="preserve"> </w:t>
      </w:r>
      <w:r>
        <w:rPr>
          <w:b/>
          <w:bCs/>
        </w:rPr>
        <w:t xml:space="preserve">record</w:t>
      </w:r>
      <w:r>
        <w:rPr>
          <w:b/>
          <w:bCs/>
        </w:rPr>
        <w:t xml:space="preserve"> </w:t>
      </w:r>
      <m:oMath>
        <m:r>
          <m:t>7.9</m:t>
        </m:r>
        <m:r>
          <m:t>B</m:t>
        </m:r>
        <m:r>
          <m:t>b</m:t>
        </m:r>
        <m:r>
          <m:t>u</m:t>
        </m:r>
        <m:r>
          <m:t>y</m:t>
        </m:r>
        <m:r>
          <m:t>b</m:t>
        </m:r>
        <m:r>
          <m:t>a</m:t>
        </m:r>
        <m:r>
          <m:t>c</m:t>
        </m:r>
        <m:r>
          <m:t>k</m:t>
        </m:r>
        <m:r>
          <m:rPr>
            <m:sty m:val="p"/>
          </m:rPr>
          <m:t>*</m:t>
        </m:r>
        <m:r>
          <m:rPr>
            <m:sty m:val="p"/>
          </m:rPr>
          <m:t>*</m:t>
        </m:r>
        <m:r>
          <m:rPr>
            <m:sty m:val="p"/>
          </m:rPr>
          <m:t>;</m:t>
        </m:r>
        <m:r>
          <m:t>t</m:t>
        </m:r>
        <m:r>
          <m:t>h</m:t>
        </m:r>
        <m:r>
          <m:t>e</m:t>
        </m:r>
        <m:r>
          <m:t>b</m:t>
        </m:r>
        <m:r>
          <m:t>o</m:t>
        </m:r>
        <m:r>
          <m:t>a</m:t>
        </m:r>
        <m:r>
          <m:t>r</m:t>
        </m:r>
        <m:r>
          <m:t>d</m:t>
        </m:r>
        <m:r>
          <m:t>a</m:t>
        </m:r>
        <m:r>
          <m:t>u</m:t>
        </m:r>
        <m:r>
          <m:t>t</m:t>
        </m:r>
        <m:r>
          <m:t>h</m:t>
        </m:r>
        <m:r>
          <m:t>o</m:t>
        </m:r>
        <m:r>
          <m:t>r</m:t>
        </m:r>
        <m:r>
          <m:t>i</m:t>
        </m:r>
        <m:r>
          <m:t>z</m:t>
        </m:r>
        <m:r>
          <m:t>e</m:t>
        </m:r>
        <m:r>
          <m:t>d</m:t>
        </m:r>
        <m:r>
          <m:t>a</m:t>
        </m:r>
        <m:r>
          <m:t>n</m:t>
        </m:r>
        <m:r>
          <m:t>e</m:t>
        </m:r>
        <m:r>
          <m:t>w</m:t>
        </m:r>
        <m:r>
          <m:rPr>
            <m:sty m:val="p"/>
          </m:rPr>
          <m:t>*</m:t>
        </m:r>
        <m:r>
          <m:rPr>
            <m:sty m:val="p"/>
          </m:rPr>
          <m:t>*</m:t>
        </m:r>
      </m:oMath>
      <w:r>
        <w:rPr>
          <w:b/>
          <w:bCs/>
        </w:rPr>
        <w:t xml:space="preserve">20B program</w:t>
      </w:r>
      <w:r>
        <w:t xml:space="preserve"> </w:t>
      </w:r>
      <w:r>
        <w:t xml:space="preserve">(~$33B total capacity). Expect continued aggressive repurchases to support EPS. Quarterly dividend is $0.67.</w:t>
      </w:r>
    </w:p>
    <w:p>
      <w:pPr>
        <w:pStyle w:val="Compact"/>
        <w:numPr>
          <w:ilvl w:val="0"/>
          <w:numId w:val="1005"/>
        </w:numPr>
      </w:pPr>
      <w:r>
        <w:rPr>
          <w:b/>
          <w:bCs/>
        </w:rPr>
        <w:t xml:space="preserve">Argentina acquisitions (Prisma/Newpay):</w:t>
      </w:r>
      <w:r>
        <w:t xml:space="preserve"> </w:t>
      </w:r>
      <w:r>
        <w:t xml:space="preserve">add ~1.5pt to nominal revenue growth, ~2pt to opex growth, and ~0.5pt to EPS growth in Q3 — so watch the GAAP vs. adjusted bridge.</w:t>
      </w:r>
    </w:p>
    <w:p>
      <w:r>
        <w:pict>
          <v:rect style="width:0;height:1.5pt" o:hralign="center" o:hrstd="t" o:hr="t"/>
        </w:pict>
      </w:r>
    </w:p>
    <w:bookmarkEnd w:id="17"/>
    <w:bookmarkStart w:id="18" w:name="X2bb6c691dd2cba33cb8d1bae5b29b73d0123bcc"/>
    <w:p>
      <w:pPr>
        <w:pStyle w:val="Heading2"/>
      </w:pPr>
      <w:r>
        <w:t xml:space="preserve">Strategic Narrative — What Management Will Emphasize</w:t>
      </w:r>
    </w:p>
    <w:p>
      <w:pPr>
        <w:pStyle w:val="FirstParagraph"/>
      </w:pPr>
      <w:r>
        <w:t xml:space="preserve">Even in a "trough" quarter, expect the bulk of the call devoted to the long-term story, where Visa is positioning aggressively:</w:t>
      </w:r>
    </w:p>
    <w:p>
      <w:pPr>
        <w:pStyle w:val="Compact"/>
        <w:numPr>
          <w:ilvl w:val="0"/>
          <w:numId w:val="1006"/>
        </w:numPr>
      </w:pPr>
      <w:r>
        <w:rPr>
          <w:b/>
          <w:bCs/>
        </w:rPr>
        <w:t xml:space="preserve">Agentic commerce / AI</w:t>
      </w:r>
      <w:r>
        <w:t xml:space="preserve"> </w:t>
      </w:r>
      <w:r>
        <w:t xml:space="preserve">— Visa Intelligent Commerce, agentic tokens, the "Visa CLI" proof-of-concept, and the argument that agents will drive</w:t>
      </w:r>
      <w:r>
        <w:t xml:space="preserve"> </w:t>
      </w:r>
      <w:r>
        <w:rPr>
          <w:i/>
          <w:iCs/>
        </w:rPr>
        <w:t xml:space="preserve">more</w:t>
      </w:r>
      <w:r>
        <w:t xml:space="preserve"> </w:t>
      </w:r>
      <w:r>
        <w:t xml:space="preserve">transactions (including micro-transactions) with cards as the trusted rail.</w:t>
      </w:r>
    </w:p>
    <w:p>
      <w:pPr>
        <w:pStyle w:val="Compact"/>
        <w:numPr>
          <w:ilvl w:val="0"/>
          <w:numId w:val="1006"/>
        </w:numPr>
      </w:pPr>
      <w:r>
        <w:rPr>
          <w:b/>
          <w:bCs/>
        </w:rPr>
        <w:t xml:space="preserve">Stablecoins / on-chain</w:t>
      </w:r>
      <w:r>
        <w:t xml:space="preserve"> </w:t>
      </w:r>
      <w:r>
        <w:t xml:space="preserve">— a ~$7B run-rate stablecoin settlement volume (up &gt;50% q/q), 160+ stablecoin-linked card programs (volume +~200% y/y), and new blockchain settlement/validator roles. Look for updated run-rate figures.</w:t>
      </w:r>
    </w:p>
    <w:p>
      <w:pPr>
        <w:pStyle w:val="Compact"/>
        <w:numPr>
          <w:ilvl w:val="0"/>
          <w:numId w:val="1006"/>
        </w:numPr>
      </w:pPr>
      <w:r>
        <w:rPr>
          <w:b/>
          <w:bCs/>
        </w:rPr>
        <w:t xml:space="preserve">Payments nationalism</w:t>
      </w:r>
      <w:r>
        <w:t xml:space="preserve"> </w:t>
      </w:r>
      <w:r>
        <w:t xml:space="preserve">— recurring questions on Europe (Wero, digital euro) and local-scheme competition; management's stance is that competition is rising but Visa keeps winning share (added ~30M European cards, another ~30M committed).</w:t>
      </w:r>
    </w:p>
    <w:p>
      <w:r>
        <w:pict>
          <v:rect style="width:0;height:1.5pt" o:hralign="center" o:hrstd="t" o:hr="t"/>
        </w:pict>
      </w:r>
    </w:p>
    <w:bookmarkEnd w:id="18"/>
    <w:bookmarkStart w:id="19" w:name="stock-setup--positioning"/>
    <w:p>
      <w:pPr>
        <w:pStyle w:val="Heading2"/>
      </w:pPr>
      <w:r>
        <w:t xml:space="preserve">Stock Setup / Positioning</w:t>
      </w:r>
    </w:p>
    <w:p>
      <w:pPr>
        <w:pStyle w:val="Compact"/>
        <w:numPr>
          <w:ilvl w:val="0"/>
          <w:numId w:val="1007"/>
        </w:numPr>
      </w:pPr>
      <w:r>
        <w:t xml:space="preserve">V closed</w:t>
      </w:r>
      <w:r>
        <w:t xml:space="preserve"> </w:t>
      </w:r>
      <w:r>
        <w:rPr>
          <w:b/>
          <w:bCs/>
        </w:rPr>
        <w:t xml:space="preserve">~</w:t>
      </w:r>
      <m:oMath>
        <m:r>
          <m:t>362.57</m:t>
        </m:r>
        <m:r>
          <m:rPr>
            <m:sty m:val="p"/>
          </m:rPr>
          <m:t>*</m:t>
        </m:r>
        <m:r>
          <m:rPr>
            <m:sty m:val="p"/>
          </m:rPr>
          <m:t>*</m:t>
        </m:r>
        <m:r>
          <m:t>o</m:t>
        </m:r>
        <m:r>
          <m:t>n</m:t>
        </m:r>
        <m:r>
          <m:t>J</m:t>
        </m:r>
        <m:r>
          <m:t>u</m:t>
        </m:r>
        <m:r>
          <m:t>l</m:t>
        </m:r>
        <m:r>
          <m:t>y</m:t>
        </m:r>
        <m:r>
          <m:t>27</m:t>
        </m:r>
        <m:r>
          <m:rPr>
            <m:sty m:val="p"/>
          </m:rPr>
          <m:t>,</m:t>
        </m:r>
        <m:r>
          <m:t>u</m:t>
        </m:r>
        <m:r>
          <m:t>p</m:t>
        </m:r>
        <m:r>
          <m:rPr>
            <m:sty m:val="p"/>
          </m:rPr>
          <m:t>*</m:t>
        </m:r>
        <m:r>
          <m:rPr>
            <m:sty m:val="p"/>
          </m:rPr>
          <m:t>*</m:t>
        </m:r>
        <m:r>
          <m:t> </m:t>
        </m:r>
        <m:r>
          <m:t>4.6</m:t>
        </m:r>
      </m:oMath>
      <w:r>
        <w:rPr>
          <w:b/>
          <w:bCs/>
        </w:rPr>
        <w:t xml:space="preserve">296)</w:t>
      </w:r>
      <w:r>
        <w:t xml:space="preserve"> </w:t>
      </w:r>
      <w:r>
        <w:t xml:space="preserve">— trading near its highs into the print.</w:t>
      </w:r>
    </w:p>
    <w:p>
      <w:pPr>
        <w:pStyle w:val="Compact"/>
        <w:numPr>
          <w:ilvl w:val="0"/>
          <w:numId w:val="1007"/>
        </w:numPr>
      </w:pPr>
      <w:r>
        <w:t xml:space="preserve">Notably, V has</w:t>
      </w:r>
      <w:r>
        <w:t xml:space="preserve"> </w:t>
      </w:r>
      <w:r>
        <w:rPr>
          <w:b/>
          <w:bCs/>
        </w:rPr>
        <w:t xml:space="preserve">outperformed Mastercard</w:t>
      </w:r>
      <w:r>
        <w:t xml:space="preserve">, which is down ~2% YTD, so expectations are elevated and the stock is not "cheap into the number."</w:t>
      </w:r>
    </w:p>
    <w:p>
      <w:pPr>
        <w:pStyle w:val="Compact"/>
        <w:numPr>
          <w:ilvl w:val="0"/>
          <w:numId w:val="1007"/>
        </w:numPr>
      </w:pPr>
      <w:r>
        <w:t xml:space="preserve">With the stock near highs and Q3 guided as the year's slowest growth quarter, the risk/reward hinges on</w:t>
      </w:r>
      <w:r>
        <w:t xml:space="preserve"> </w:t>
      </w:r>
      <w:r>
        <w:rPr>
          <w:b/>
          <w:bCs/>
        </w:rPr>
        <w:t xml:space="preserve">guidance and drivers, not the headline beat</w:t>
      </w:r>
      <w:r>
        <w:t xml:space="preserve">. A modest EPS beat is largely expected (four straight beats). The market reaction likely turns on: (1) any full-year guidance raise, (2) cross-border/Middle East recovery, (3) FIFA-driven inbound and VAS momentum, and (4) reassurance that the U.S. consumer remains healthy.</w:t>
      </w:r>
    </w:p>
    <w:p>
      <w:r>
        <w:pict>
          <v:rect style="width:0;height:1.5pt" o:hralign="center" o:hrstd="t" o:hr="t"/>
        </w:pict>
      </w:r>
    </w:p>
    <w:bookmarkEnd w:id="19"/>
    <w:bookmarkStart w:id="20" w:name="bottom-line--what-to-focus-on"/>
    <w:p>
      <w:pPr>
        <w:pStyle w:val="Heading2"/>
      </w:pPr>
      <w:r>
        <w:t xml:space="preserve">Bottom Line — What to Focus On</w:t>
      </w:r>
    </w:p>
    <w:p>
      <w:pPr>
        <w:pStyle w:val="Compact"/>
        <w:numPr>
          <w:ilvl w:val="0"/>
          <w:numId w:val="1008"/>
        </w:numPr>
      </w:pPr>
      <w:r>
        <w:rPr>
          <w:b/>
          <w:bCs/>
        </w:rPr>
        <w:t xml:space="preserve">Do the drivers hold?</w:t>
      </w:r>
      <w:r>
        <w:t xml:space="preserve"> </w:t>
      </w:r>
      <w:r>
        <w:t xml:space="preserve">Payments volume ~mid-to-high single digits and cross-border re-accelerating back toward +11% would confirm the "trough is optical" thesis.</w:t>
      </w:r>
    </w:p>
    <w:p>
      <w:pPr>
        <w:pStyle w:val="Compact"/>
        <w:numPr>
          <w:ilvl w:val="0"/>
          <w:numId w:val="1008"/>
        </w:numPr>
      </w:pPr>
      <w:r>
        <w:rPr>
          <w:b/>
          <w:bCs/>
        </w:rPr>
        <w:t xml:space="preserve">Full-year guide.</w:t>
      </w:r>
      <w:r>
        <w:t xml:space="preserve"> </w:t>
      </w:r>
      <w:r>
        <w:t xml:space="preserve">After raising the FY26 outlook last quarter (net revenue low-double-digit to low-teens; EPS low-teens), any further raise — or a trim — will drive the reaction more than the Q3 print itself.</w:t>
      </w:r>
    </w:p>
    <w:p>
      <w:pPr>
        <w:pStyle w:val="Compact"/>
        <w:numPr>
          <w:ilvl w:val="0"/>
          <w:numId w:val="1008"/>
        </w:numPr>
      </w:pPr>
      <w:r>
        <w:rPr>
          <w:b/>
          <w:bCs/>
        </w:rPr>
        <w:t xml:space="preserve">FIFA proof points</w:t>
      </w:r>
      <w:r>
        <w:t xml:space="preserve"> </w:t>
      </w:r>
      <w:r>
        <w:t xml:space="preserve">on both inbound travel and marketing-services (VAS) revenue.</w:t>
      </w:r>
    </w:p>
    <w:p>
      <w:pPr>
        <w:pStyle w:val="Compact"/>
        <w:numPr>
          <w:ilvl w:val="0"/>
          <w:numId w:val="1008"/>
        </w:numPr>
      </w:pPr>
      <w:r>
        <w:rPr>
          <w:b/>
          <w:bCs/>
        </w:rPr>
        <w:t xml:space="preserve">Consumer health commentary</w:t>
      </w:r>
      <w:r>
        <w:t xml:space="preserve">, especially the low-spend band, given macro cross-currents.</w:t>
      </w:r>
    </w:p>
    <w:p>
      <w:pPr>
        <w:pStyle w:val="Compact"/>
        <w:numPr>
          <w:ilvl w:val="0"/>
          <w:numId w:val="1008"/>
        </w:numPr>
      </w:pPr>
      <w:r>
        <w:rPr>
          <w:b/>
          <w:bCs/>
        </w:rPr>
        <w:t xml:space="preserve">The optics vs. substance gap:</w:t>
      </w:r>
      <w:r>
        <w:t xml:space="preserve"> </w:t>
      </w:r>
      <w:r>
        <w:t xml:space="preserve">higher incentives, a tougher volatility comp, and a higher tax rate all make the Q3 growth</w:t>
      </w:r>
      <w:r>
        <w:t xml:space="preserve"> </w:t>
      </w:r>
      <w:r>
        <w:rPr>
          <w:i/>
          <w:iCs/>
        </w:rPr>
        <w:t xml:space="preserve">rate</w:t>
      </w:r>
      <w:r>
        <w:t xml:space="preserve"> </w:t>
      </w:r>
      <w:r>
        <w:t xml:space="preserve">look soft — management will point past it to Q4 re-acceleration and the secular VAS/CMS/agentic/stablecoin story.</w:t>
      </w:r>
    </w:p>
    <w:p>
      <w:pPr>
        <w:pStyle w:val="FirstParagraph"/>
      </w:pPr>
      <w:r>
        <w:rPr>
          <w:i/>
          <w:iCs/>
        </w:rPr>
        <w:t xml:space="preserve">Note: Consensus figures are drawn from third-party estimate aggregators (Zacks ~$3.23 EPS /</w:t>
      </w:r>
      <w:r>
        <w:rPr>
          <w:i/>
          <w:iCs/>
        </w:rPr>
        <w:t xml:space="preserve"> </w:t>
      </w:r>
      <m:oMath>
        <m:r>
          <m:t>11.35</m:t>
        </m:r>
        <m:r>
          <m:t>B</m:t>
        </m:r>
        <m:r>
          <m:t>r</m:t>
        </m:r>
        <m:r>
          <m:t>e</m:t>
        </m:r>
        <m:r>
          <m:t>v</m:t>
        </m:r>
        <m:r>
          <m:t>e</m:t>
        </m:r>
        <m:r>
          <m:t>n</m:t>
        </m:r>
        <m:r>
          <m:t>u</m:t>
        </m:r>
        <m:r>
          <m:t>e</m:t>
        </m:r>
        <m:r>
          <m:rPr>
            <m:sty m:val="p"/>
          </m:rPr>
          <m:t>;</m:t>
        </m:r>
        <m:r>
          <m:t>o</m:t>
        </m:r>
        <m:r>
          <m:t>t</m:t>
        </m:r>
        <m:r>
          <m:t>h</m:t>
        </m:r>
        <m:r>
          <m:t>e</m:t>
        </m:r>
        <m:r>
          <m:t>r</m:t>
        </m:r>
        <m:r>
          <m:t>p</m:t>
        </m:r>
        <m:r>
          <m:t>r</m:t>
        </m:r>
        <m:r>
          <m:t>e</m:t>
        </m:r>
        <m:r>
          <m:t>v</m:t>
        </m:r>
        <m:r>
          <m:t>i</m:t>
        </m:r>
        <m:r>
          <m:t>e</m:t>
        </m:r>
        <m:r>
          <m:t>w</m:t>
        </m:r>
        <m:r>
          <m:t>s</m:t>
        </m:r>
        <m:r>
          <m:t> </m:t>
        </m:r>
      </m:oMath>
      <w:r>
        <w:rPr>
          <w:i/>
          <w:iCs/>
        </w:rPr>
        <w:t xml:space="preserve">3.22 EPS / ~$11.38B revenue) and may differ slightly from the final tally. All company financial trends and guidance are sourced from Visa's Q2 FY26 earnings release and call and the Q3 FY25 comparable release.</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2026-07-28T01:25:31Z</dcterms:created>
  <dcterms:modified xsi:type="dcterms:W3CDTF">2026-07-28T01:25:31Z</dcterms:modified>
</cp:coreProperties>
</file>

<file path=docProps/custom.xml><?xml version="1.0" encoding="utf-8"?>
<Properties xmlns="http://schemas.openxmlformats.org/officeDocument/2006/custom-properties" xmlns:vt="http://schemas.openxmlformats.org/officeDocument/2006/docPropsVTypes"/>
</file>