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visa-v--fiscal-q3-2026-earnings-preview"/>
    <w:p>
      <w:pPr>
        <w:pStyle w:val="Heading1"/>
      </w:pPr>
      <w:r>
        <w:t xml:space="preserve">Visa (V) — Fiscal Q3 2026 Earnings Preview</w:t>
      </w:r>
    </w:p>
    <w:p>
      <w:pPr>
        <w:pStyle w:val="FirstParagraph"/>
      </w:pP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Visa comes into this report riding significant momentum. The stock has climbed from roughly</w:t>
      </w:r>
      <w:r>
        <w:t xml:space="preserve"> </w:t>
      </w:r>
      <m:oMath>
        <m:r>
          <m:t>309</m:t>
        </m:r>
        <m:r>
          <m:t>r</m:t>
        </m:r>
        <m:r>
          <m:t>i</m:t>
        </m:r>
        <m:r>
          <m:t>g</m:t>
        </m:r>
        <m:r>
          <m:t>h</m:t>
        </m:r>
        <m:r>
          <m:t>t</m:t>
        </m:r>
        <m:r>
          <m:t>b</m:t>
        </m:r>
        <m:r>
          <m:t>e</m:t>
        </m:r>
        <m:r>
          <m:t>f</m:t>
        </m:r>
        <m:r>
          <m:t>o</m:t>
        </m:r>
        <m:r>
          <m:t>r</m:t>
        </m:r>
        <m:r>
          <m:t>e</m:t>
        </m:r>
        <m:r>
          <m:t>i</m:t>
        </m:r>
        <m:r>
          <m:t>t</m:t>
        </m:r>
        <m:r>
          <m:t>s</m:t>
        </m:r>
        <m:r>
          <m:t>l</m:t>
        </m:r>
        <m:r>
          <m:t>a</m:t>
        </m:r>
        <m:r>
          <m:t>s</m:t>
        </m:r>
        <m:r>
          <m:t>t</m:t>
        </m:r>
        <m:r>
          <m:t>p</m:t>
        </m:r>
        <m:r>
          <m:t>r</m:t>
        </m:r>
        <m:r>
          <m:t>i</m:t>
        </m:r>
        <m:r>
          <m:t>n</m:t>
        </m:r>
        <m:r>
          <m:t>t</m:t>
        </m:r>
        <m:r>
          <m:t>t</m:t>
        </m:r>
        <m:r>
          <m:t>o</m:t>
        </m:r>
        <m:r>
          <m:rPr>
            <m:sty m:val="p"/>
          </m:rPr>
          <m:t>*</m:t>
        </m:r>
        <m:r>
          <m:rPr>
            <m:sty m:val="p"/>
          </m:rPr>
          <m:t>*</m:t>
        </m:r>
      </m:oMath>
      <w:r>
        <w:t xml:space="preserve">362 as of July 27**, a run of nearly 17%, and sits near 52-week highs after a blowout fiscal Q2. That means the bar for this quarter is elevated — a "good enough" quarter may not be sufficient to keep the stock climbing given how much good news is arguably already priced in.</w:t>
      </w:r>
    </w:p>
    <w:p>
      <w:pPr>
        <w:pStyle w:val="BodyText"/>
      </w:pPr>
      <w:r>
        <w:rPr>
          <w:b/>
          <w:bCs/>
        </w:rPr>
        <w:t xml:space="preserve">Consensus expectations (fiscal Q3 2026, quarter ended June 30, 2026):</w:t>
      </w:r>
    </w:p>
    <w:p>
      <w:pPr>
        <w:pStyle w:val="Compact"/>
        <w:numPr>
          <w:ilvl w:val="0"/>
          <w:numId w:val="1001"/>
        </w:numPr>
      </w:pPr>
      <w:r>
        <w:t xml:space="preserve">Revenue: ~$11.35–11.38 billion (+11.6–11.8% y/y)</w:t>
      </w:r>
    </w:p>
    <w:p>
      <w:pPr>
        <w:pStyle w:val="Compact"/>
        <w:numPr>
          <w:ilvl w:val="0"/>
          <w:numId w:val="1001"/>
        </w:numPr>
      </w:pPr>
      <w:r>
        <w:t xml:space="preserve">EPS: ~$3.22–3.23 (+8.1–8.4% y/y)</w:t>
      </w:r>
    </w:p>
    <w:p>
      <w:pPr>
        <w:pStyle w:val="Compact"/>
        <w:numPr>
          <w:ilvl w:val="0"/>
          <w:numId w:val="1001"/>
        </w:numPr>
      </w:pPr>
      <w:r>
        <w:t xml:space="preserve">Full-year FY2026: revenue ~</w:t>
      </w:r>
      <m:oMath>
        <m:r>
          <m:t>45.4</m:t>
        </m:r>
        <m:r>
          <m:t>B</m:t>
        </m:r>
        <m:r>
          <m:rPr>
            <m:sty m:val="p"/>
          </m:rPr>
          <m:t>(</m:t>
        </m:r>
        <m:r>
          <m:rPr>
            <m:sty m:val="p"/>
          </m:rPr>
          <m:t>+</m:t>
        </m:r>
        <m:r>
          <m:t>13.4</m:t>
        </m:r>
      </m:oMath>
      <w:r>
        <w:t xml:space="preserve">13.10-13.13 (+14.2-14.5% y/y)</w:t>
      </w:r>
    </w:p>
    <w:p>
      <w:pPr>
        <w:pStyle w:val="FirstParagraph"/>
      </w:pPr>
      <w:r>
        <w:t xml:space="preserve">Visa has beaten EPS estimates in each of the last four quarters, and estimate revisions have trended modestly higher into the print.</w:t>
      </w:r>
    </w:p>
    <w:p>
      <w:r>
        <w:pict>
          <v:rect style="width:0;height:1.5pt" o:hralign="center" o:hrstd="t" o:hr="t"/>
        </w:pict>
      </w:r>
    </w:p>
    <w:bookmarkEnd w:id="9"/>
    <w:bookmarkStart w:id="10" w:name="X4ab5fb44114d522e0661b347ca4f3c70d9fe811"/>
    <w:p>
      <w:pPr>
        <w:pStyle w:val="Heading2"/>
      </w:pPr>
      <w:r>
        <w:t xml:space="preserve">What Happened Last Quarter (Fiscal Q2 2026 Recap)</w:t>
      </w:r>
    </w:p>
    <w:p>
      <w:pPr>
        <w:pStyle w:val="FirstParagraph"/>
      </w:pPr>
      <w:r>
        <w:t xml:space="preserve">Q2 was Visa's strongest quarter in years. In our fiscal second quarter, net revenue was up 17% year-over-year to $11.2 billion and EPS was up 20%. This represented the strongest net revenue growth since 2022. Growth engines beyond core payments led the way: value-added services is an even bigger opportunity and has demonstrated its value as a key driver of our growth, now representing 30% of our net revenue, growing at 25% plus in constant dollars, while commercial and money movement solutions revenue grew 24% in constant dollars.</w:t>
      </w:r>
    </w:p>
    <w:p>
      <w:pPr>
        <w:pStyle w:val="BodyText"/>
      </w:pPr>
      <w:r>
        <w:t xml:space="preserve">Management flagged three drivers of the upside: volatility, it was very low, if you recall, at the start of January when we set the guide and then it rose higher throughout the course of the quarter... our VAS business... was better than we expected, primarily due to greater demand for our network products, as well as marketing services. And then incentives grew at 14%, which was below our expectations for the quarter.</w:t>
      </w:r>
    </w:p>
    <w:p>
      <w:pPr>
        <w:pStyle w:val="BodyText"/>
      </w:pPr>
      <w:r>
        <w:t xml:space="preserve">Visa also returned significant capital: In Q2, we bought back $7.9 billion in stock, the highest quarterly buyback in Visa's history, and in April, the Board of Directors authorized a new $20 billion multiyear share repurchase program, putting our total buyback capacity at approximately $33 billion.</w:t>
      </w:r>
    </w:p>
    <w:p>
      <w:r>
        <w:pict>
          <v:rect style="width:0;height:1.5pt" o:hralign="center" o:hrstd="t" o:hr="t"/>
        </w:pict>
      </w:r>
    </w:p>
    <w:bookmarkEnd w:id="10"/>
    <w:bookmarkStart w:id="11" w:name="Xb29fa9c0b3aad0c7b97d3a199df6c1b155270c9"/>
    <w:p>
      <w:pPr>
        <w:pStyle w:val="Heading2"/>
      </w:pPr>
      <w:r>
        <w:t xml:space="preserve">Management's Own Q3 Guidance — Watch for a Deceleration</w:t>
      </w:r>
    </w:p>
    <w:p>
      <w:pPr>
        <w:pStyle w:val="FirstParagraph"/>
      </w:pPr>
      <w:r>
        <w:t xml:space="preserve">This is the critical framing for tomorrow: Visa itself told investors to expect a slowdown. We expect Q3 net revenue growth in the low double digits. Consistent with the directional comments provided at the start of the year, this low double-digit growth should be the lowest growth quarter of the year. The reasons cited were higher incentive growth as a result of deal timing and lapping of the low point of incentive growth in Q3, 2025... lower volatility levels with a tough comparable versus the highest volatility quarter that we saw last year... and the second half weighted pricing going into effect, resulting in third quarter EPS growth to be in the mid- to high single digits.</w:t>
      </w:r>
    </w:p>
    <w:p>
      <w:pPr>
        <w:pStyle w:val="BodyText"/>
      </w:pPr>
      <w:r>
        <w:t xml:space="preserve">In other words: a revenue beat is likely (Visa has out-executed its own guides all year), but the EPS growth rate is guided to look notably slower than recent quarters — investors should be prepared for this even if it represents a beat versus the lowered bar.</w:t>
      </w:r>
    </w:p>
    <w:p>
      <w:r>
        <w:pict>
          <v:rect style="width:0;height:1.5pt" o:hralign="center" o:hrstd="t" o:hr="t"/>
        </w:pict>
      </w:r>
    </w:p>
    <w:bookmarkEnd w:id="11"/>
    <w:bookmarkStart w:id="12" w:name="key-themes-to-watch-on-the-call"/>
    <w:p>
      <w:pPr>
        <w:pStyle w:val="Heading2"/>
      </w:pPr>
      <w:r>
        <w:t xml:space="preserve">Key Themes to Watch on the Call</w:t>
      </w:r>
    </w:p>
    <w:p>
      <w:pPr>
        <w:pStyle w:val="FirstParagraph"/>
      </w:pPr>
      <w:r>
        <w:rPr>
          <w:b/>
          <w:bCs/>
        </w:rPr>
        <w:t xml:space="preserve">1. Cross-border/travel and the Middle East conflict.</w:t>
      </w:r>
      <w:r>
        <w:t xml:space="preserve"> </w:t>
      </w:r>
      <w:r>
        <w:t xml:space="preserve">Last quarter, management noted In CEMEA, we saw a step down of about 2.5 points in payments volume growth in constant dollars from Q1, primarily due to the conflict in the Middle East, though this was described as a modest drag given CEMEA generally represents about 6% of our total payments volume. Geopolitical tensions have escalated further into July (renewed fighting has pushed gas prices higher), so investors will want an updated read on whether cross-border/travel trends held up better or worse than the assumptions embedded in guidance.</w:t>
      </w:r>
    </w:p>
    <w:p>
      <w:pPr>
        <w:pStyle w:val="BodyText"/>
      </w:pPr>
      <w:r>
        <w:rPr>
          <w:b/>
          <w:bCs/>
        </w:rPr>
        <w:t xml:space="preserve">2. FIFA World Cup tailwind.</w:t>
      </w:r>
      <w:r>
        <w:t xml:space="preserve"> </w:t>
      </w:r>
      <w:r>
        <w:t xml:space="preserve">The tournament ran through Visa's fiscal Q3 (June/July), and management had already flagged this as a swing factor: we are expecting improvements in the U.S. and Latin America inbound travel due to FIFA, and we have the lapping impact of low U.S. inbound growth from last year. This should show up in both cross-border volume and marketing-services-driven VAS revenue — analysts expect this to have provided a meaningful lift to both metrics this quarter, and the key question is durability once the event laps.</w:t>
      </w:r>
    </w:p>
    <w:p>
      <w:pPr>
        <w:pStyle w:val="BodyText"/>
      </w:pPr>
      <w:r>
        <w:rPr>
          <w:b/>
          <w:bCs/>
        </w:rPr>
        <w:t xml:space="preserve">3. Value-Added Services and Commercial/Money Movement — is 25%+ growth the new normal?</w:t>
      </w:r>
      <w:r>
        <w:t xml:space="preserve"> </w:t>
      </w:r>
      <w:r>
        <w:t xml:space="preserve">These two segments have been running well ahead of Visa's medium-term framework, prompting analysts to ask if targets need to be reset. Management pushed back on overreacting to any single quarter, particularly for CMS: The 24% revenue growth this quarter is higher than we've seen in recent quarters... some of that out-performance this quarter was related to adjustments and deal timing as well as pricing... we don't anticipate some of those onetime items to reoccur.</w:t>
      </w:r>
    </w:p>
    <w:p>
      <w:pPr>
        <w:pStyle w:val="BodyText"/>
      </w:pPr>
      <w:r>
        <w:rPr>
          <w:b/>
          <w:bCs/>
        </w:rPr>
        <w:t xml:space="preserve">4. Stablecoins and agentic commerce — increasingly a real business, not just narrative.</w:t>
      </w:r>
      <w:r>
        <w:t xml:space="preserve"> </w:t>
      </w:r>
      <w:r>
        <w:t xml:space="preserve">Visa disclosed a $7 billion annualized stablecoin settlement run rate (growing &gt;50% quarter-over-quarter) and nearly 200% y/y growth in stablecoin-linked card volumes as of Q2. Since then, Visa launched the</w:t>
      </w:r>
      <w:r>
        <w:t xml:space="preserve"> </w:t>
      </w:r>
      <w:r>
        <w:rPr>
          <w:b/>
          <w:bCs/>
        </w:rPr>
        <w:t xml:space="preserve">Visa Stablecoin Platform (VSP)</w:t>
      </w:r>
      <w:r>
        <w:t xml:space="preserve"> </w:t>
      </w:r>
      <w:r>
        <w:t xml:space="preserve">on July 16, 2026, giving financial institutions and fintechs a managed environment to mint, redeem, hold and transfer stablecoins — this is a new, incremental initiative investors will want details on, including early client adoption. Watch also for updates on Visa's CLI/agentic commerce proof-of-concept and any commentary on unit economics, which management has characterized as similar to existing network economics rather than dilutive.</w:t>
      </w:r>
    </w:p>
    <w:p>
      <w:pPr>
        <w:pStyle w:val="BodyText"/>
      </w:pPr>
      <w:r>
        <w:rPr>
          <w:b/>
          <w:bCs/>
        </w:rPr>
        <w:t xml:space="preserve">5. Consumer spending health.</w:t>
      </w:r>
      <w:r>
        <w:t xml:space="preserve"> </w:t>
      </w:r>
      <w:r>
        <w:t xml:space="preserve">Last quarter management was explicit that across our volume, both discretionary and nondiscretionary spend remains strong. We do not see signs of the lower spend consumer weakening in our volumes. Read-through from American Express's just-reported quarter was consistent — card member spending grew at its fastest pace in three years — though AXP also flagged delinquencies running above pre-COVID levels, a data point worth monitoring for any spillover signal into Visa's US credit commentary.</w:t>
      </w:r>
    </w:p>
    <w:p>
      <w:pPr>
        <w:pStyle w:val="BodyText"/>
      </w:pPr>
      <w:r>
        <w:rPr>
          <w:b/>
          <w:bCs/>
        </w:rPr>
        <w:t xml:space="preserve">6. Pricing.</w:t>
      </w:r>
      <w:r>
        <w:t xml:space="preserve"> </w:t>
      </w:r>
      <w:r>
        <w:t xml:space="preserve">New, second-half-weighted pricing actions go into effect this period, a modest tailwind embedded in guidance that should begin showing in service and data processing revenue growth relative to underlying volume growth.</w:t>
      </w:r>
    </w:p>
    <w:p>
      <w:r>
        <w:pict>
          <v:rect style="width:0;height:1.5pt" o:hralign="center" o:hrstd="t" o:hr="t"/>
        </w:pict>
      </w:r>
    </w:p>
    <w:bookmarkEnd w:id="12"/>
    <w:bookmarkStart w:id="13" w:name="Xb0c95b4f82350b35ce910365ceef1f0b5e6bbda"/>
    <w:p>
      <w:pPr>
        <w:pStyle w:val="Heading2"/>
      </w:pPr>
      <w:r>
        <w:t xml:space="preserve">Regulatory Overhang (Background, Unlikely to Move the Stock Tomorrow but Worth Tracking)</w:t>
      </w:r>
    </w:p>
    <w:p>
      <w:pPr>
        <w:pStyle w:val="FirstParagraph"/>
      </w:pPr>
      <w:r>
        <w:t xml:space="preserve">Visa continues to face a DOJ antitrust suit over its debit network practices; the case is in a contentious discovery phase with fact discovery currently scheduled to close in October 2026. Separately, in the UK, the Competition Appeal Tribunal ruled earlier this year that Visa and Mastercard's multilateral interchange fees infringed competition law, though a related commercial-card interchange claim (Moy Park) has since been stayed pending an appeal — an unresolved, multi-year litigation risk rather than a near-term earnings driver.</w:t>
      </w:r>
    </w:p>
    <w:p>
      <w:r>
        <w:pict>
          <v:rect style="width:0;height:1.5pt" o:hralign="center" o:hrstd="t" o:hr="t"/>
        </w:pict>
      </w:r>
    </w:p>
    <w:bookmarkEnd w:id="13"/>
    <w:bookmarkStart w:id="14" w:name="macro-backdrop-for-the-print"/>
    <w:p>
      <w:pPr>
        <w:pStyle w:val="Heading2"/>
      </w:pPr>
      <w:r>
        <w:t xml:space="preserve">Macro Backdrop for the Print</w:t>
      </w:r>
    </w:p>
    <w:p>
      <w:pPr>
        <w:pStyle w:val="FirstParagraph"/>
      </w:pPr>
      <w:r>
        <w:t xml:space="preserve">Visa reports the night before the Fed's July 29 rate decision (markets expect no change, with a possible move in September) and two days before Q2 GDP and June PCE inflation data. Tariff developments remain fluid, and Middle East conflict escalation is already pressuring energy prices — all relevant to how investors will contextualize any cautious commentary on cross-border travel or global consumer spending. Peer Mastercard reports two days later (July 30), which should offer a cross-check on sector-wide trends in consumer spending and cross-border activity.</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Visa heads into fiscal Q3 with strong underlying momentum in value-added services, commercial/money movement, and early but rapidly scaling stablecoin infrastructure — but management has explicitly guided for this to be the</w:t>
      </w:r>
      <w:r>
        <w:t xml:space="preserve"> </w:t>
      </w:r>
      <w:r>
        <w:rPr>
          <w:b/>
          <w:bCs/>
        </w:rPr>
        <w:t xml:space="preserve">slowest revenue-growth and EPS-growth quarter of the fiscal year</w:t>
      </w:r>
      <w:r>
        <w:t xml:space="preserve">, largely on tougher incentive and volatility comparisons. With the stock up sharply into the print, the key swing factors for the reaction will be: (1) whether cross-border/travel outperformed or underperformed the Middle East-related caution embedded in guidance, (2) how much of the VAS/CMS strength is FIFA-related versus durable, (3) any tangible early monetization signal from the new Stablecoin Platform, and (4) whether commentary on Q4 and preliminary FY2027 growth reinforces or tempers the "reaccelerating hyperscaler of payments" narrative management has been building all year.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2026-07-28T01:25:41Z</dcterms:created>
  <dcterms:modified xsi:type="dcterms:W3CDTF">2026-07-28T01:25:41Z</dcterms:modified>
</cp:coreProperties>
</file>

<file path=docProps/custom.xml><?xml version="1.0" encoding="utf-8"?>
<Properties xmlns="http://schemas.openxmlformats.org/officeDocument/2006/custom-properties" xmlns:vt="http://schemas.openxmlformats.org/officeDocument/2006/docPropsVTypes"/>
</file>