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v-earnings-predictions--2026-07-28"/>
    <w:p>
      <w:pPr>
        <w:pStyle w:val="Heading1"/>
      </w:pPr>
      <w:r>
        <w:t xml:space="preserve">V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~$11.50B vs. cons $11.35B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~$3.26 vs. cons $3.23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Payments-volume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~9.0% vs. cons 8.8%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Net-revenue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~14.0% vs. cons 13.4% (FY2026 reported growth equivalent)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~14.5% vs. cons 14.5%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Net-revenue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~13.0% vs. cons 11.0% (fiscal Q4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+1.4% (FADE)</w:t>
            </w:r>
          </w:p>
        </w:tc>
        <w:tc>
          <w:tcPr/>
          <w:p>
            <w:pPr>
              <w:pStyle w:val="Compact"/>
            </w:pPr>
            <w:r>
              <w:t xml:space="preserve">The revenue and volume beat should drive an initial +2.6% residual, but FY2026 adjusted EPS guidance of ~14.5% versus 14.5% consensus implies limited out-period estimate revisions; the cumulative residual therefore fades toward +1.4% by day 5.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2026-07-28T01:24:52Z</dcterms:created>
  <dcterms:modified xsi:type="dcterms:W3CDTF">2026-07-28T01:24:52Z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