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visa-fiscal-q3-2026-earnings-preview"/>
    <w:p>
      <w:pPr>
        <w:pStyle w:val="Heading1"/>
      </w:pPr>
      <w:r>
        <w:t xml:space="preserve">Visa Fiscal Q3 2026 Earnings Preview</w:t>
      </w:r>
    </w:p>
    <w:p>
      <w:pPr>
        <w:pStyle w:val="BlockText"/>
      </w:pPr>
      <w:r>
        <w:rPr>
          <w:b/>
          <w:bCs/>
        </w:rPr>
        <w:t xml:space="preserve">Timing clarification:</w:t>
      </w:r>
      <w:r>
        <w:t xml:space="preserve"> </w:t>
      </w:r>
      <w:r>
        <w:t xml:space="preserve">Visa is reporting</w:t>
      </w:r>
      <w:r>
        <w:t xml:space="preserve"> </w:t>
      </w:r>
      <w:r>
        <w:rPr>
          <w:b/>
          <w:bCs/>
        </w:rPr>
        <w:t xml:space="preserve">today, Tuesday, July 28, 2026</w:t>
      </w:r>
      <w:r>
        <w:t xml:space="preserve">, not tomorrow. Results are due after the market closes, followed by the earnings call at</w:t>
      </w:r>
      <w:r>
        <w:t xml:space="preserve"> </w:t>
      </w:r>
      <w:r>
        <w:rPr>
          <w:b/>
          <w:bCs/>
        </w:rPr>
        <w:t xml:space="preserve">5:00 p.m. ET</w:t>
      </w:r>
      <w:r>
        <w:t xml:space="preserve">. (</w:t>
      </w:r>
      <w:hyperlink r:id="rId9">
        <w:r>
          <w:rPr>
            <w:rStyle w:val="Hyperlink"/>
          </w:rPr>
          <w:t xml:space="preserve">visa.gcs-web.com</w:t>
        </w:r>
      </w:hyperlink>
      <w:r>
        <w:t xml:space="preserve">)</w:t>
      </w:r>
    </w:p>
    <w:bookmarkStart w:id="11" w:name="preview-at-a-glance"/>
    <w:p>
      <w:pPr>
        <w:pStyle w:val="Heading2"/>
      </w:pPr>
      <w:r>
        <w:t xml:space="preserve">Preview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Q3 2025 actual</w:t>
            </w:r>
          </w:p>
        </w:tc>
        <w:tc>
          <w:tcPr/>
          <w:p>
            <w:pPr>
              <w:pStyle w:val="Compact"/>
              <w:jc w:val="right"/>
            </w:pPr>
            <w:r>
              <w:t xml:space="preserve">Fiscal Q3 2026 consensus</w:t>
            </w:r>
          </w:p>
        </w:tc>
        <w:tc>
          <w:tcPr/>
          <w:p>
            <w:pPr>
              <w:pStyle w:val="Compact"/>
              <w:jc w:val="right"/>
            </w:pPr>
            <w:r>
              <w:t xml:space="preserve">Implied growth</w:t>
            </w:r>
          </w:p>
        </w:tc>
      </w:tr>
      <w:tr>
        <w:tc>
          <w:tcPr/>
          <w:p>
            <w:pPr>
              <w:pStyle w:val="Compact"/>
            </w:pPr>
            <w:r>
              <w:t xml:space="preserve">Net revenue</w:t>
            </w:r>
          </w:p>
        </w:tc>
        <w:tc>
          <w:tcPr/>
          <w:p>
            <w:pPr>
              <w:pStyle w:val="Compact"/>
              <w:jc w:val="right"/>
            </w:pPr>
            <w:r>
              <w:t xml:space="preserve">$10.17B</w:t>
            </w:r>
          </w:p>
        </w:tc>
        <w:tc>
          <w:tcPr/>
          <w:p>
            <w:pPr>
              <w:pStyle w:val="Compact"/>
              <w:jc w:val="right"/>
            </w:pPr>
            <w:r>
              <w:t xml:space="preserve">~</w:t>
            </w:r>
            <m:oMath>
              <m:r>
                <m:t>11.35</m:t>
              </m:r>
              <m:r>
                <m:t>B</m:t>
              </m:r>
              <m:r>
                <m:rPr>
                  <m:sty m:val="p"/>
                </m:rPr>
                <m:t>–</m:t>
              </m:r>
            </m:oMath>
            <w:r>
              <w:t xml:space="preserve">11.38B</w:t>
            </w:r>
          </w:p>
        </w:tc>
        <w:tc>
          <w:tcPr/>
          <w:p>
            <w:pPr>
              <w:pStyle w:val="Compact"/>
              <w:jc w:val="right"/>
            </w:pPr>
            <w:r>
              <w:t xml:space="preserve">~12%</w:t>
            </w:r>
          </w:p>
        </w:tc>
      </w:tr>
      <w:tr>
        <w:tc>
          <w:tcPr/>
          <w:p>
            <w:pPr>
              <w:pStyle w:val="Compact"/>
            </w:pPr>
            <w:r>
              <w:t xml:space="preserve">Adjusted EPS</w:t>
            </w:r>
          </w:p>
        </w:tc>
        <w:tc>
          <w:tcPr/>
          <w:p>
            <w:pPr>
              <w:pStyle w:val="Compact"/>
              <w:jc w:val="right"/>
            </w:pPr>
            <w:r>
              <w:t xml:space="preserve">$2.98</w:t>
            </w:r>
          </w:p>
        </w:tc>
        <w:tc>
          <w:tcPr/>
          <w:p>
            <w:pPr>
              <w:pStyle w:val="Compact"/>
              <w:jc w:val="right"/>
            </w:pPr>
            <w:r>
              <w:t xml:space="preserve">~</w:t>
            </w:r>
            <m:oMath>
              <m:r>
                <m:t>3.22</m:t>
              </m:r>
              <m:r>
                <m:rPr>
                  <m:sty m:val="p"/>
                </m:rPr>
                <m:t>–</m:t>
              </m:r>
            </m:oMath>
            <w:r>
              <w:t xml:space="preserve">3.23</w:t>
            </w:r>
          </w:p>
        </w:tc>
        <w:tc>
          <w:tcPr/>
          <w:p>
            <w:pPr>
              <w:pStyle w:val="Compact"/>
              <w:jc w:val="right"/>
            </w:pPr>
            <w:r>
              <w:t xml:space="preserve">~8%</w:t>
            </w:r>
          </w:p>
        </w:tc>
      </w:tr>
      <w:tr>
        <w:tc>
          <w:tcPr/>
          <w:p>
            <w:pPr>
              <w:pStyle w:val="Compact"/>
            </w:pPr>
            <w:r>
              <w:t xml:space="preserve">Payments volume growth</w:t>
            </w:r>
          </w:p>
        </w:tc>
        <w:tc>
          <w:tcPr/>
          <w:p>
            <w:pPr>
              <w:pStyle w:val="Compact"/>
              <w:jc w:val="right"/>
            </w:pPr>
            <w:r>
              <w:t xml:space="preserve">8%</w:t>
            </w:r>
          </w:p>
        </w:tc>
        <w:tc>
          <w:tcPr/>
          <w:p>
            <w:pPr>
              <w:pStyle w:val="Compact"/>
              <w:jc w:val="right"/>
            </w:pPr>
            <w:r>
              <w:t xml:space="preserve">—</w:t>
            </w:r>
          </w:p>
        </w:tc>
        <w:tc>
          <w:tcPr/>
          <w:p>
            <w:pPr>
              <w:pStyle w:val="Compact"/>
              <w:jc w:val="right"/>
            </w:pPr>
            <w:r>
              <w:t xml:space="preserve">—</w:t>
            </w:r>
          </w:p>
        </w:tc>
      </w:tr>
      <w:tr>
        <w:tc>
          <w:tcPr/>
          <w:p>
            <w:pPr>
              <w:pStyle w:val="Compact"/>
            </w:pPr>
            <w:r>
              <w:t xml:space="preserve">Cross-border volume growth, ex-Europe</w:t>
            </w:r>
          </w:p>
        </w:tc>
        <w:tc>
          <w:tcPr/>
          <w:p>
            <w:pPr>
              <w:pStyle w:val="Compact"/>
              <w:jc w:val="right"/>
            </w:pPr>
            <w:r>
              <w:t xml:space="preserve">11%</w:t>
            </w:r>
          </w:p>
        </w:tc>
        <w:tc>
          <w:tcPr/>
          <w:p>
            <w:pPr>
              <w:pStyle w:val="Compact"/>
              <w:jc w:val="right"/>
            </w:pPr>
            <w:r>
              <w:t xml:space="preserve">—</w:t>
            </w:r>
          </w:p>
        </w:tc>
        <w:tc>
          <w:tcPr/>
          <w:p>
            <w:pPr>
              <w:pStyle w:val="Compact"/>
              <w:jc w:val="right"/>
            </w:pPr>
            <w:r>
              <w:t xml:space="preserve">—</w:t>
            </w:r>
          </w:p>
        </w:tc>
      </w:tr>
      <w:tr>
        <w:tc>
          <w:tcPr/>
          <w:p>
            <w:pPr>
              <w:pStyle w:val="Compact"/>
            </w:pPr>
            <w:r>
              <w:t xml:space="preserve">Processed-transaction growth</w:t>
            </w:r>
          </w:p>
        </w:tc>
        <w:tc>
          <w:tcPr/>
          <w:p>
            <w:pPr>
              <w:pStyle w:val="Compact"/>
              <w:jc w:val="right"/>
            </w:pPr>
            <w:r>
              <w:t xml:space="preserve">10%</w:t>
            </w:r>
          </w:p>
        </w:tc>
        <w:tc>
          <w:tcPr/>
          <w:p>
            <w:pPr>
              <w:pStyle w:val="Compact"/>
              <w:jc w:val="right"/>
            </w:pPr>
            <w:r>
              <w:t xml:space="preserve">—</w:t>
            </w:r>
          </w:p>
        </w:tc>
        <w:tc>
          <w:tcPr/>
          <w:p>
            <w:pPr>
              <w:pStyle w:val="Compact"/>
              <w:jc w:val="right"/>
            </w:pPr>
            <w:r>
              <w:t xml:space="preserve">—</w:t>
            </w:r>
          </w:p>
        </w:tc>
      </w:tr>
    </w:tbl>
    <w:p>
      <w:pPr>
        <w:pStyle w:val="BodyText"/>
      </w:pPr>
      <w:r>
        <w:t xml:space="preserve">Consensus is broadly consistent with management’s April outlook for</w:t>
      </w:r>
      <w:r>
        <w:t xml:space="preserve"> </w:t>
      </w:r>
      <w:r>
        <w:rPr>
          <w:b/>
          <w:bCs/>
        </w:rPr>
        <w:t xml:space="preserve">low-double-digit adjusted revenue growth</w:t>
      </w:r>
      <w:r>
        <w:t xml:space="preserve"> </w:t>
      </w:r>
      <w:r>
        <w:t xml:space="preserve">and</w:t>
      </w:r>
      <w:r>
        <w:t xml:space="preserve"> </w:t>
      </w:r>
      <w:r>
        <w:rPr>
          <w:b/>
          <w:bCs/>
        </w:rPr>
        <w:t xml:space="preserve">mid- to high-single-digit adjusted EPS growth</w:t>
      </w:r>
      <w:r>
        <w:t xml:space="preserve">. The Street is therefore not expecting another quarter resembling fiscal Q2’s 17% revenue and 20% adjusted EPS growth. (</w:t>
      </w:r>
      <w:hyperlink r:id="rId10">
        <w:r>
          <w:rPr>
            <w:rStyle w:val="Hyperlink"/>
          </w:rPr>
          <w:t xml:space="preserve">benzinga.com</w:t>
        </w:r>
      </w:hyperlink>
      <w:r>
        <w:t xml:space="preserve">)</w:t>
      </w:r>
    </w:p>
    <w:bookmarkEnd w:id="11"/>
    <w:bookmarkStart w:id="13" w:name="investment-view-going-into-the-report"/>
    <w:p>
      <w:pPr>
        <w:pStyle w:val="Heading2"/>
      </w:pPr>
      <w:r>
        <w:t xml:space="preserve">Investment view going into the report</w:t>
      </w:r>
    </w:p>
    <w:p>
      <w:pPr>
        <w:pStyle w:val="FirstParagraph"/>
      </w:pPr>
      <w:r>
        <w:t xml:space="preserve">The headline numbers matter, but this report is principally about the</w:t>
      </w:r>
      <w:r>
        <w:t xml:space="preserve"> </w:t>
      </w:r>
      <w:r>
        <w:rPr>
          <w:b/>
          <w:bCs/>
        </w:rPr>
        <w:t xml:space="preserve">quality and durability of Visa’s growth</w:t>
      </w:r>
      <w:r>
        <w:t xml:space="preserve">.</w:t>
      </w:r>
    </w:p>
    <w:p>
      <w:pPr>
        <w:pStyle w:val="BodyText"/>
      </w:pPr>
      <w:r>
        <w:t xml:space="preserve">Visa’s fiscal Q2 beat benefited from three favorable factors: stronger value-added services, more currency volatility than management had expected, and lower-than-expected client incentives. Management explicitly warned that Q3 would be the fiscal year’s slowest revenue-growth quarter because incentives should accelerate and Visa is comparing against an unusually favorable prior-year currency-volatility period. Back-half pricing was expected to provide a partial offset. (</w:t>
      </w:r>
      <w:hyperlink r:id="rId12">
        <w:r>
          <w:rPr>
            <w:rStyle w:val="Hyperlink"/>
          </w:rPr>
          <w:t xml:space="preserve">s1.q4cdn.com</w:t>
        </w:r>
      </w:hyperlink>
      <w:r>
        <w:t xml:space="preserve">)</w:t>
      </w:r>
    </w:p>
    <w:p>
      <w:pPr>
        <w:pStyle w:val="BodyText"/>
      </w:pPr>
      <w:r>
        <w:t xml:space="preserve">Consequently, a small EPS beat may not be sufficient to drive the stock. Investors should focus on:</w:t>
      </w:r>
    </w:p>
    <w:p>
      <w:pPr>
        <w:pStyle w:val="Compact"/>
        <w:numPr>
          <w:ilvl w:val="0"/>
          <w:numId w:val="1001"/>
        </w:numPr>
      </w:pPr>
      <w:r>
        <w:t xml:space="preserve">Whether underlying payment and cross-border volumes remain near their recent rates.</w:t>
      </w:r>
    </w:p>
    <w:p>
      <w:pPr>
        <w:pStyle w:val="Compact"/>
        <w:numPr>
          <w:ilvl w:val="0"/>
          <w:numId w:val="1001"/>
        </w:numPr>
      </w:pPr>
      <w:r>
        <w:t xml:space="preserve">Whether incentives rise only as much as management anticipated.</w:t>
      </w:r>
    </w:p>
    <w:p>
      <w:pPr>
        <w:pStyle w:val="Compact"/>
        <w:numPr>
          <w:ilvl w:val="0"/>
          <w:numId w:val="1001"/>
        </w:numPr>
      </w:pPr>
      <w:r>
        <w:t xml:space="preserve">Whether value-added services remain a sustainable 20%-plus growth engine.</w:t>
      </w:r>
    </w:p>
    <w:p>
      <w:pPr>
        <w:pStyle w:val="Compact"/>
        <w:numPr>
          <w:ilvl w:val="0"/>
          <w:numId w:val="1001"/>
        </w:numPr>
      </w:pPr>
      <w:r>
        <w:t xml:space="preserve">Whether management still expects revenue growth to reaccelerate in fiscal Q4.</w:t>
      </w:r>
    </w:p>
    <w:p>
      <w:pPr>
        <w:pStyle w:val="Compact"/>
        <w:numPr>
          <w:ilvl w:val="0"/>
          <w:numId w:val="1001"/>
        </w:numPr>
      </w:pPr>
      <w:r>
        <w:t xml:space="preserve">Whether Visa raises, rather than merely reiterates, full-year guidance.</w:t>
      </w:r>
    </w:p>
    <w:p>
      <w:r>
        <w:pict>
          <v:rect style="width:0;height:1.5pt" o:hralign="center" o:hrstd="t" o:hr="t"/>
        </w:pict>
      </w:r>
    </w:p>
    <w:bookmarkEnd w:id="13"/>
    <w:bookmarkStart w:id="17" w:name="X51e3a1c6fdfe920148777f67b992c209176515f"/>
    <w:p>
      <w:pPr>
        <w:pStyle w:val="Heading2"/>
      </w:pPr>
      <w:r>
        <w:t xml:space="preserve">1. Core payment volumes: resilience is the first test</w:t>
      </w:r>
    </w:p>
    <w:p>
      <w:pPr>
        <w:pStyle w:val="FirstParagraph"/>
      </w:pPr>
      <w:r>
        <w:t xml:space="preserve">Fiscal Q2 operating trends were strong:</w:t>
      </w:r>
    </w:p>
    <w:p>
      <w:pPr>
        <w:pStyle w:val="Compact"/>
        <w:numPr>
          <w:ilvl w:val="0"/>
          <w:numId w:val="1002"/>
        </w:numPr>
      </w:pPr>
      <w:r>
        <w:t xml:space="preserve">Payments volume:</w:t>
      </w:r>
      <w:r>
        <w:t xml:space="preserve"> </w:t>
      </w:r>
      <w:r>
        <w:rPr>
          <w:b/>
          <w:bCs/>
        </w:rPr>
        <w:t xml:space="preserve">+9%</w:t>
      </w:r>
    </w:p>
    <w:p>
      <w:pPr>
        <w:pStyle w:val="Compact"/>
        <w:numPr>
          <w:ilvl w:val="0"/>
          <w:numId w:val="1002"/>
        </w:numPr>
      </w:pPr>
      <w:r>
        <w:t xml:space="preserve">Cross-border volume excluding intra-Europe:</w:t>
      </w:r>
      <w:r>
        <w:t xml:space="preserve"> </w:t>
      </w:r>
      <w:r>
        <w:rPr>
          <w:b/>
          <w:bCs/>
        </w:rPr>
        <w:t xml:space="preserve">+11%</w:t>
      </w:r>
    </w:p>
    <w:p>
      <w:pPr>
        <w:pStyle w:val="Compact"/>
        <w:numPr>
          <w:ilvl w:val="0"/>
          <w:numId w:val="1002"/>
        </w:numPr>
      </w:pPr>
      <w:r>
        <w:t xml:space="preserve">Total cross-border volume:</w:t>
      </w:r>
      <w:r>
        <w:t xml:space="preserve"> </w:t>
      </w:r>
      <w:r>
        <w:rPr>
          <w:b/>
          <w:bCs/>
        </w:rPr>
        <w:t xml:space="preserve">+12%</w:t>
      </w:r>
    </w:p>
    <w:p>
      <w:pPr>
        <w:pStyle w:val="Compact"/>
        <w:numPr>
          <w:ilvl w:val="0"/>
          <w:numId w:val="1002"/>
        </w:numPr>
      </w:pPr>
      <w:r>
        <w:t xml:space="preserve">Processed transactions:</w:t>
      </w:r>
      <w:r>
        <w:t xml:space="preserve"> </w:t>
      </w:r>
      <w:r>
        <w:rPr>
          <w:b/>
          <w:bCs/>
        </w:rPr>
        <w:t xml:space="preserve">+9%</w:t>
      </w:r>
    </w:p>
    <w:p>
      <w:pPr>
        <w:pStyle w:val="FirstParagraph"/>
      </w:pPr>
      <w:r>
        <w:t xml:space="preserve">U.S. payments volume grew 8%, with credit improving more than debit, while e-commerce continued to outgrow face-to-face spending. Visa also said it was not seeing material weakening among lower-spending consumers. (</w:t>
      </w:r>
      <w:hyperlink r:id="rId14">
        <w:r>
          <w:rPr>
            <w:rStyle w:val="Hyperlink"/>
          </w:rPr>
          <w:t xml:space="preserve">s1.q4cdn.com</w:t>
        </w:r>
      </w:hyperlink>
      <w:r>
        <w:t xml:space="preserve">)</w:t>
      </w:r>
    </w:p>
    <w:p>
      <w:pPr>
        <w:pStyle w:val="BodyText"/>
      </w:pPr>
      <w:r>
        <w:t xml:space="preserve">For Q3, the most important question is whether Visa can sustain approximately:</w:t>
      </w:r>
    </w:p>
    <w:p>
      <w:pPr>
        <w:pStyle w:val="Compact"/>
        <w:numPr>
          <w:ilvl w:val="0"/>
          <w:numId w:val="1003"/>
        </w:numPr>
      </w:pPr>
      <w:r>
        <w:rPr>
          <w:b/>
          <w:bCs/>
        </w:rPr>
        <w:t xml:space="preserve">High-single-digit payments-volume growth</w:t>
      </w:r>
    </w:p>
    <w:p>
      <w:pPr>
        <w:pStyle w:val="Compact"/>
        <w:numPr>
          <w:ilvl w:val="0"/>
          <w:numId w:val="1003"/>
        </w:numPr>
      </w:pPr>
      <w:r>
        <w:rPr>
          <w:b/>
          <w:bCs/>
        </w:rPr>
        <w:t xml:space="preserve">High-single-digit processed-transaction growth</w:t>
      </w:r>
    </w:p>
    <w:p>
      <w:pPr>
        <w:pStyle w:val="Compact"/>
        <w:numPr>
          <w:ilvl w:val="0"/>
          <w:numId w:val="1003"/>
        </w:numPr>
      </w:pPr>
      <w:r>
        <w:rPr>
          <w:b/>
          <w:bCs/>
        </w:rPr>
        <w:t xml:space="preserve">Low-double-digit cross-border growth</w:t>
      </w:r>
    </w:p>
    <w:p>
      <w:pPr>
        <w:pStyle w:val="FirstParagraph"/>
      </w:pPr>
      <w:r>
        <w:t xml:space="preserve">Cross-border deserves the most attention because it carries attractive economics and directly influences international transaction revenue. Management entered the quarter expecting strong cross-border e-commerce, improved inbound travel to the United States and Latin America, and some offsetting weakness tied to the Middle East. (</w:t>
      </w:r>
      <w:hyperlink r:id="rId12">
        <w:r>
          <w:rPr>
            <w:rStyle w:val="Hyperlink"/>
          </w:rPr>
          <w:t xml:space="preserve">s1.q4cdn.com</w:t>
        </w:r>
      </w:hyperlink>
      <w:r>
        <w:t xml:space="preserve">)</w:t>
      </w:r>
    </w:p>
    <w:bookmarkStart w:id="16" w:name="what-would-be-encouraging"/>
    <w:p>
      <w:pPr>
        <w:pStyle w:val="Heading3"/>
      </w:pPr>
      <w:r>
        <w:t xml:space="preserve">What would be encouraging</w:t>
      </w:r>
    </w:p>
    <w:p>
      <w:pPr>
        <w:pStyle w:val="Compact"/>
        <w:numPr>
          <w:ilvl w:val="0"/>
          <w:numId w:val="1004"/>
        </w:numPr>
      </w:pPr>
      <w:r>
        <w:t xml:space="preserve">Payments and processed-transaction growth holding near 9%.</w:t>
      </w:r>
    </w:p>
    <w:p>
      <w:pPr>
        <w:pStyle w:val="Compact"/>
        <w:numPr>
          <w:ilvl w:val="0"/>
          <w:numId w:val="1004"/>
        </w:numPr>
      </w:pPr>
      <w:r>
        <w:t xml:space="preserve">Cross-border ex-Europe remaining around 11% or better.</w:t>
      </w:r>
    </w:p>
    <w:p>
      <w:pPr>
        <w:pStyle w:val="Compact"/>
        <w:numPr>
          <w:ilvl w:val="0"/>
          <w:numId w:val="1004"/>
        </w:numPr>
      </w:pPr>
      <w:r>
        <w:t xml:space="preserve">Continued strength in commercial travel and U.S. inbound spending.</w:t>
      </w:r>
    </w:p>
    <w:p>
      <w:pPr>
        <w:pStyle w:val="Compact"/>
        <w:numPr>
          <w:ilvl w:val="0"/>
          <w:numId w:val="1004"/>
        </w:numPr>
      </w:pPr>
      <w:r>
        <w:t xml:space="preserve">July trends showing that World Cup activity and summer travel are carrying momentum into fiscal Q4.</w:t>
      </w:r>
    </w:p>
    <w:p>
      <w:pPr>
        <w:pStyle w:val="FirstParagraph"/>
      </w:pPr>
      <w:r>
        <w:t xml:space="preserve">Visa’s post-quarter data are directionally positive: cross-border Visa transactions in 2026 World Cup host cities increased nearly 20% year over year during the tournament. Most of the July tournament activity falls in fiscal Q4 rather than the June-ending Q3, making it more relevant to the forward outlook than to reported Q3 results. (</w:t>
      </w:r>
      <w:hyperlink r:id="rId15">
        <w:r>
          <w:rPr>
            <w:rStyle w:val="Hyperlink"/>
          </w:rPr>
          <w:t xml:space="preserve">investor.visa.com</w:t>
        </w:r>
      </w:hyperlink>
      <w:r>
        <w:t xml:space="preserve">)</w:t>
      </w:r>
    </w:p>
    <w:p>
      <w:r>
        <w:pict>
          <v:rect style="width:0;height:1.5pt" o:hralign="center" o:hrstd="t" o:hr="t"/>
        </w:pict>
      </w:r>
    </w:p>
    <w:bookmarkEnd w:id="16"/>
    <w:bookmarkEnd w:id="17"/>
    <w:bookmarkStart w:id="19" w:name="Xc003c77485200aceb599134b9bba8573644ae0c"/>
    <w:p>
      <w:pPr>
        <w:pStyle w:val="Heading2"/>
      </w:pPr>
      <w:r>
        <w:t xml:space="preserve">2. Client incentives and currency volatility are the key revenue-bridge items</w:t>
      </w:r>
    </w:p>
    <w:p>
      <w:pPr>
        <w:pStyle w:val="FirstParagraph"/>
      </w:pPr>
      <w:r>
        <w:t xml:space="preserve">This may be the most important part of the quarter.</w:t>
      </w:r>
    </w:p>
    <w:p>
      <w:pPr>
        <w:pStyle w:val="BodyText"/>
      </w:pPr>
      <w:r>
        <w:t xml:space="preserve">Client incentives grew 14% in fiscal Q2, but that was below Visa’s expectations because of deal timing and performance adjustments. Management expected incentive growth to step up in Q3 because the company is lapping fiscal Q3 2025—the prior year’s low point for incentive growth. (</w:t>
      </w:r>
      <w:hyperlink r:id="rId12">
        <w:r>
          <w:rPr>
            <w:rStyle w:val="Hyperlink"/>
          </w:rPr>
          <w:t xml:space="preserve">s1.q4cdn.com</w:t>
        </w:r>
      </w:hyperlink>
      <w:r>
        <w:t xml:space="preserve">)</w:t>
      </w:r>
    </w:p>
    <w:p>
      <w:pPr>
        <w:pStyle w:val="BodyText"/>
      </w:pPr>
      <w:r>
        <w:t xml:space="preserve">At the same time, fiscal Q3 faces a difficult comparison with the prior year’s unusually elevated currency volatility. Visa earns revenue from converting currencies in connection with cross-border transactions, so lower volatility can mute international transaction revenue even when underlying volumes remain healthy.</w:t>
      </w:r>
    </w:p>
    <w:bookmarkStart w:id="18" w:name="the-cleanest-positive-outcome"/>
    <w:p>
      <w:pPr>
        <w:pStyle w:val="Heading3"/>
      </w:pPr>
      <w:r>
        <w:t xml:space="preserve">The cleanest positive outcome</w:t>
      </w:r>
    </w:p>
    <w:p>
      <w:pPr>
        <w:pStyle w:val="FirstParagraph"/>
      </w:pPr>
      <w:r>
        <w:t xml:space="preserve">A strong report would combine:</w:t>
      </w:r>
    </w:p>
    <w:p>
      <w:pPr>
        <w:pStyle w:val="Compact"/>
        <w:numPr>
          <w:ilvl w:val="0"/>
          <w:numId w:val="1005"/>
        </w:numPr>
      </w:pPr>
      <w:r>
        <w:t xml:space="preserve">Revenue near or above consensus.</w:t>
      </w:r>
    </w:p>
    <w:p>
      <w:pPr>
        <w:pStyle w:val="Compact"/>
        <w:numPr>
          <w:ilvl w:val="0"/>
          <w:numId w:val="1005"/>
        </w:numPr>
      </w:pPr>
      <w:r>
        <w:t xml:space="preserve">Incentives rising, but no worse than anticipated.</w:t>
      </w:r>
    </w:p>
    <w:p>
      <w:pPr>
        <w:pStyle w:val="Compact"/>
        <w:numPr>
          <w:ilvl w:val="0"/>
          <w:numId w:val="1005"/>
        </w:numPr>
      </w:pPr>
      <w:r>
        <w:t xml:space="preserve">International transaction revenue broadly tracking cross-border volume.</w:t>
      </w:r>
    </w:p>
    <w:p>
      <w:pPr>
        <w:pStyle w:val="Compact"/>
        <w:numPr>
          <w:ilvl w:val="0"/>
          <w:numId w:val="1005"/>
        </w:numPr>
      </w:pPr>
      <w:r>
        <w:t xml:space="preserve">Evidence that second-half pricing is offsetting some of the incentive and volatility pressure.</w:t>
      </w:r>
    </w:p>
    <w:p>
      <w:pPr>
        <w:pStyle w:val="FirstParagraph"/>
      </w:pPr>
      <w:r>
        <w:t xml:space="preserve">A revenue miss caused by incentives would be more concerning than a miss caused solely by currency translation, particularly if management also lowers its fiscal Q4 expectations.</w:t>
      </w:r>
    </w:p>
    <w:p>
      <w:r>
        <w:pict>
          <v:rect style="width:0;height:1.5pt" o:hralign="center" o:hrstd="t" o:hr="t"/>
        </w:pict>
      </w:r>
    </w:p>
    <w:bookmarkEnd w:id="18"/>
    <w:bookmarkEnd w:id="19"/>
    <w:bookmarkStart w:id="21" w:name="X34a4feea1cb4052db1a566513befa4463ec5b32"/>
    <w:p>
      <w:pPr>
        <w:pStyle w:val="Heading2"/>
      </w:pPr>
      <w:r>
        <w:t xml:space="preserve">3. Value-added services must demonstrate that Q2 was not an event-driven peak</w:t>
      </w:r>
    </w:p>
    <w:p>
      <w:pPr>
        <w:pStyle w:val="FirstParagraph"/>
      </w:pPr>
      <w:r>
        <w:t xml:space="preserve">Value-added services, or VAS, has become central to the Visa thesis. Fiscal Q2 VAS revenue reached</w:t>
      </w:r>
      <w:r>
        <w:t xml:space="preserve"> </w:t>
      </w:r>
      <w:r>
        <w:rPr>
          <w:b/>
          <w:bCs/>
        </w:rPr>
        <w:t xml:space="preserve">$3.3 billion</w:t>
      </w:r>
      <w:r>
        <w:t xml:space="preserve">, growing</w:t>
      </w:r>
      <w:r>
        <w:t xml:space="preserve"> </w:t>
      </w:r>
      <w:r>
        <w:rPr>
          <w:b/>
          <w:bCs/>
        </w:rPr>
        <w:t xml:space="preserve">27% in constant currency</w:t>
      </w:r>
      <w:r>
        <w:t xml:space="preserve">, and represented roughly 30% of total company revenue. Strength was broad-based across issuer and acquirer network products, fraud and risk services, consulting, and marketing. (</w:t>
      </w:r>
      <w:hyperlink r:id="rId12">
        <w:r>
          <w:rPr>
            <w:rStyle w:val="Hyperlink"/>
          </w:rPr>
          <w:t xml:space="preserve">s1.q4cdn.com</w:t>
        </w:r>
      </w:hyperlink>
      <w:r>
        <w:t xml:space="preserve">)</w:t>
      </w:r>
    </w:p>
    <w:p>
      <w:pPr>
        <w:pStyle w:val="BodyText"/>
      </w:pPr>
      <w:r>
        <w:t xml:space="preserve">The debate is whether the current growth rate is durable or temporarily inflated by:</w:t>
      </w:r>
    </w:p>
    <w:p>
      <w:pPr>
        <w:pStyle w:val="Compact"/>
        <w:numPr>
          <w:ilvl w:val="0"/>
          <w:numId w:val="1006"/>
        </w:numPr>
      </w:pPr>
      <w:r>
        <w:t xml:space="preserve">Winter Olympics and FIFA marketing programs.</w:t>
      </w:r>
    </w:p>
    <w:p>
      <w:pPr>
        <w:pStyle w:val="Compact"/>
        <w:numPr>
          <w:ilvl w:val="0"/>
          <w:numId w:val="1006"/>
        </w:numPr>
      </w:pPr>
      <w:r>
        <w:t xml:space="preserve">Favorable timing of client engagements.</w:t>
      </w:r>
    </w:p>
    <w:p>
      <w:pPr>
        <w:pStyle w:val="Compact"/>
        <w:numPr>
          <w:ilvl w:val="0"/>
          <w:numId w:val="1006"/>
        </w:numPr>
      </w:pPr>
      <w:r>
        <w:t xml:space="preserve">Pricing.</w:t>
      </w:r>
    </w:p>
    <w:p>
      <w:pPr>
        <w:pStyle w:val="Compact"/>
        <w:numPr>
          <w:ilvl w:val="0"/>
          <w:numId w:val="1006"/>
        </w:numPr>
      </w:pPr>
      <w:r>
        <w:t xml:space="preserve">Particularly strong demand for several network products.</w:t>
      </w:r>
    </w:p>
    <w:p>
      <w:pPr>
        <w:pStyle w:val="FirstParagraph"/>
      </w:pPr>
      <w:r>
        <w:t xml:space="preserve">Management argued that the strength was broad-based and that AI-enabled fraud, authorization and risk products were seeing increased demand. That is credible, but investors should separate recurring transaction-linked services from more variable marketing and consulting revenue.</w:t>
      </w:r>
    </w:p>
    <w:bookmarkStart w:id="20" w:name="important-vas-questions"/>
    <w:p>
      <w:pPr>
        <w:pStyle w:val="Heading3"/>
      </w:pPr>
      <w:r>
        <w:t xml:space="preserve">Important VAS questions</w:t>
      </w:r>
    </w:p>
    <w:p>
      <w:pPr>
        <w:pStyle w:val="Compact"/>
        <w:numPr>
          <w:ilvl w:val="0"/>
          <w:numId w:val="1007"/>
        </w:numPr>
      </w:pPr>
      <w:r>
        <w:t xml:space="preserve">Does VAS remain above 20% growth?</w:t>
      </w:r>
    </w:p>
    <w:p>
      <w:pPr>
        <w:pStyle w:val="Compact"/>
        <w:numPr>
          <w:ilvl w:val="0"/>
          <w:numId w:val="1007"/>
        </w:numPr>
      </w:pPr>
      <w:r>
        <w:t xml:space="preserve">How much growth came from FIFA-related marketing?</w:t>
      </w:r>
    </w:p>
    <w:p>
      <w:pPr>
        <w:pStyle w:val="Compact"/>
        <w:numPr>
          <w:ilvl w:val="0"/>
          <w:numId w:val="1007"/>
        </w:numPr>
      </w:pPr>
      <w:r>
        <w:t xml:space="preserve">Are issuer, acceptance, fraud and security services still outperforming?</w:t>
      </w:r>
    </w:p>
    <w:p>
      <w:pPr>
        <w:pStyle w:val="Compact"/>
        <w:numPr>
          <w:ilvl w:val="0"/>
          <w:numId w:val="1007"/>
        </w:numPr>
      </w:pPr>
      <w:r>
        <w:t xml:space="preserve">Is the increased marketing expense producing attractive incremental profit?</w:t>
      </w:r>
    </w:p>
    <w:p>
      <w:pPr>
        <w:pStyle w:val="Compact"/>
        <w:numPr>
          <w:ilvl w:val="0"/>
          <w:numId w:val="1007"/>
        </w:numPr>
      </w:pPr>
      <w:r>
        <w:t xml:space="preserve">How much of the expected fiscal Q4 acceleration depends on event-related revenue?</w:t>
      </w:r>
    </w:p>
    <w:p>
      <w:pPr>
        <w:pStyle w:val="FirstParagraph"/>
      </w:pPr>
      <w:r>
        <w:t xml:space="preserve">A quarter with strong VAS revenue but disproportionate operating-expense growth would be less impressive than the headline suggests.</w:t>
      </w:r>
    </w:p>
    <w:p>
      <w:r>
        <w:pict>
          <v:rect style="width:0;height:1.5pt" o:hralign="center" o:hrstd="t" o:hr="t"/>
        </w:pict>
      </w:r>
    </w:p>
    <w:bookmarkEnd w:id="20"/>
    <w:bookmarkEnd w:id="21"/>
    <w:bookmarkStart w:id="22" w:name="X04bf0c72b7341dd8f0062111f67d31254fab594"/>
    <w:p>
      <w:pPr>
        <w:pStyle w:val="Heading2"/>
      </w:pPr>
      <w:r>
        <w:t xml:space="preserve">4. Commercial payments and Visa Direct are the next layer of upside</w:t>
      </w:r>
    </w:p>
    <w:p>
      <w:pPr>
        <w:pStyle w:val="FirstParagraph"/>
      </w:pPr>
      <w:r>
        <w:t xml:space="preserve">Commercial and money-movement solutions grew</w:t>
      </w:r>
      <w:r>
        <w:t xml:space="preserve"> </w:t>
      </w:r>
      <w:r>
        <w:rPr>
          <w:b/>
          <w:bCs/>
        </w:rPr>
        <w:t xml:space="preserve">24% in constant currency</w:t>
      </w:r>
      <w:r>
        <w:t xml:space="preserve"> </w:t>
      </w:r>
      <w:r>
        <w:t xml:space="preserve">in Q2. Commercial payments volume rose 11%, while Visa Direct transactions increased 23% to 3.7 billion. (</w:t>
      </w:r>
      <w:hyperlink r:id="rId12">
        <w:r>
          <w:rPr>
            <w:rStyle w:val="Hyperlink"/>
          </w:rPr>
          <w:t xml:space="preserve">s1.q4cdn.com</w:t>
        </w:r>
      </w:hyperlink>
      <w:r>
        <w:t xml:space="preserve">)</w:t>
      </w:r>
    </w:p>
    <w:p>
      <w:pPr>
        <w:pStyle w:val="BodyText"/>
      </w:pPr>
      <w:r>
        <w:t xml:space="preserve">However, management acknowledged that Q2 commercial and money-movement revenue benefited partly from performance adjustments and deal timing that should not automatically recur. Investors should therefore avoid extrapolating 24% growth without qualification.</w:t>
      </w:r>
    </w:p>
    <w:p>
      <w:pPr>
        <w:pStyle w:val="BodyText"/>
      </w:pPr>
      <w:r>
        <w:t xml:space="preserve">The healthier signals would be:</w:t>
      </w:r>
    </w:p>
    <w:p>
      <w:pPr>
        <w:pStyle w:val="Compact"/>
        <w:numPr>
          <w:ilvl w:val="0"/>
          <w:numId w:val="1008"/>
        </w:numPr>
      </w:pPr>
      <w:r>
        <w:t xml:space="preserve">Commercial volume continuing to outgrow total Visa volume.</w:t>
      </w:r>
    </w:p>
    <w:p>
      <w:pPr>
        <w:pStyle w:val="Compact"/>
        <w:numPr>
          <w:ilvl w:val="0"/>
          <w:numId w:val="1008"/>
        </w:numPr>
      </w:pPr>
      <w:r>
        <w:t xml:space="preserve">Visa Direct transaction growth holding around 20% or better.</w:t>
      </w:r>
    </w:p>
    <w:p>
      <w:pPr>
        <w:pStyle w:val="Compact"/>
        <w:numPr>
          <w:ilvl w:val="0"/>
          <w:numId w:val="1008"/>
        </w:numPr>
      </w:pPr>
      <w:r>
        <w:t xml:space="preserve">Additional monetization detail on Visa Direct’s more than 18 billion endpoints.</w:t>
      </w:r>
    </w:p>
    <w:p>
      <w:pPr>
        <w:pStyle w:val="Compact"/>
        <w:numPr>
          <w:ilvl w:val="0"/>
          <w:numId w:val="1008"/>
        </w:numPr>
      </w:pPr>
      <w:r>
        <w:t xml:space="preserve">Progress with Pismo, including the Wells Fargo core-ledger migration and new geographic wins.</w:t>
      </w:r>
    </w:p>
    <w:p>
      <w:pPr>
        <w:pStyle w:val="FirstParagraph"/>
      </w:pPr>
      <w:r>
        <w:t xml:space="preserve">Pismo is reported within VAS, so expanding adoption could support both Visa’s services growth and its strategic position in cloud-based issuer and core-banking infrastructure.</w:t>
      </w:r>
    </w:p>
    <w:p>
      <w:r>
        <w:pict>
          <v:rect style="width:0;height:1.5pt" o:hralign="center" o:hrstd="t" o:hr="t"/>
        </w:pict>
      </w:r>
    </w:p>
    <w:bookmarkEnd w:id="22"/>
    <w:bookmarkStart w:id="25" w:name="Xbf515363489fac585a5c0a34f51700cab87fc9b"/>
    <w:p>
      <w:pPr>
        <w:pStyle w:val="Heading2"/>
      </w:pPr>
      <w:r>
        <w:t xml:space="preserve">5. Fiscal Q4 and full-year guidance will probably determine the stock reaction</w:t>
      </w:r>
    </w:p>
    <w:p>
      <w:pPr>
        <w:pStyle w:val="FirstParagraph"/>
      </w:pPr>
      <w:r>
        <w:t xml:space="preserve">At the April report, Visa raised its fiscal 2026 adjusted outlook to:</w:t>
      </w:r>
    </w:p>
    <w:p>
      <w:pPr>
        <w:pStyle w:val="Compact"/>
        <w:numPr>
          <w:ilvl w:val="0"/>
          <w:numId w:val="1009"/>
        </w:numPr>
      </w:pPr>
      <w:r>
        <w:rPr>
          <w:b/>
          <w:bCs/>
        </w:rPr>
        <w:t xml:space="preserve">Net-revenue growth:</w:t>
      </w:r>
      <w:r>
        <w:t xml:space="preserve"> </w:t>
      </w:r>
      <w:r>
        <w:t xml:space="preserve">low double digits to low teens.</w:t>
      </w:r>
    </w:p>
    <w:p>
      <w:pPr>
        <w:pStyle w:val="Compact"/>
        <w:numPr>
          <w:ilvl w:val="0"/>
          <w:numId w:val="1009"/>
        </w:numPr>
      </w:pPr>
      <w:r>
        <w:rPr>
          <w:b/>
          <w:bCs/>
        </w:rPr>
        <w:t xml:space="preserve">Adjusted EPS growth:</w:t>
      </w:r>
      <w:r>
        <w:t xml:space="preserve"> </w:t>
      </w:r>
      <w:r>
        <w:t xml:space="preserve">low teens.</w:t>
      </w:r>
    </w:p>
    <w:p>
      <w:pPr>
        <w:pStyle w:val="Compact"/>
        <w:numPr>
          <w:ilvl w:val="0"/>
          <w:numId w:val="1009"/>
        </w:numPr>
      </w:pPr>
      <w:r>
        <w:rPr>
          <w:b/>
          <w:bCs/>
        </w:rPr>
        <w:t xml:space="preserve">Operating-expense growth:</w:t>
      </w:r>
      <w:r>
        <w:t xml:space="preserve"> </w:t>
      </w:r>
      <w:r>
        <w:t xml:space="preserve">low double digits to low teens.</w:t>
      </w:r>
    </w:p>
    <w:p>
      <w:pPr>
        <w:pStyle w:val="Compact"/>
        <w:numPr>
          <w:ilvl w:val="0"/>
          <w:numId w:val="1009"/>
        </w:numPr>
      </w:pPr>
      <w:r>
        <w:rPr>
          <w:b/>
          <w:bCs/>
        </w:rPr>
        <w:t xml:space="preserve">Tax rate:</w:t>
      </w:r>
      <w:r>
        <w:t xml:space="preserve"> </w:t>
      </w:r>
      <w:r>
        <w:t xml:space="preserve">18%–18.5%, toward the low end.</w:t>
      </w:r>
    </w:p>
    <w:p>
      <w:pPr>
        <w:pStyle w:val="Compact"/>
        <w:numPr>
          <w:ilvl w:val="0"/>
          <w:numId w:val="1009"/>
        </w:numPr>
      </w:pPr>
      <w:r>
        <w:rPr>
          <w:b/>
          <w:bCs/>
        </w:rPr>
        <w:t xml:space="preserve">Full-year non-operating expense:</w:t>
      </w:r>
      <w:r>
        <w:t xml:space="preserve"> </w:t>
      </w:r>
      <w:r>
        <w:t xml:space="preserve">approximately $150 million.</w:t>
      </w:r>
    </w:p>
    <w:p>
      <w:pPr>
        <w:pStyle w:val="FirstParagraph"/>
      </w:pPr>
      <w:r>
        <w:t xml:space="preserve">Management expected fiscal Q4 revenue growth to be approximately one percentage point higher than Q3, helped by less currency-volatility pressure and stronger marketing-services revenue. (</w:t>
      </w:r>
      <w:hyperlink r:id="rId12">
        <w:r>
          <w:rPr>
            <w:rStyle w:val="Hyperlink"/>
          </w:rPr>
          <w:t xml:space="preserve">s1.q4cdn.com</w:t>
        </w:r>
      </w:hyperlink>
      <w:r>
        <w:t xml:space="preserve">)</w:t>
      </w:r>
    </w:p>
    <w:p>
      <w:pPr>
        <w:pStyle w:val="BodyText"/>
      </w:pPr>
      <w:r>
        <w:t xml:space="preserve">The current fiscal-year consensus is approximately</w:t>
      </w:r>
      <w:r>
        <w:t xml:space="preserve"> </w:t>
      </w:r>
      <m:oMath>
        <m:r>
          <m:t>45.37</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13.10 of adjusted EPS</w:t>
      </w:r>
      <w:r>
        <w:t xml:space="preserve">, representing growth of roughly 13% and 14%, respectively. (</w:t>
      </w:r>
      <w:hyperlink r:id="rId23">
        <w:r>
          <w:rPr>
            <w:rStyle w:val="Hyperlink"/>
          </w:rPr>
          <w:t xml:space="preserve">zacks.com</w:t>
        </w:r>
      </w:hyperlink>
      <w:r>
        <w:t xml:space="preserve">)</w:t>
      </w:r>
    </w:p>
    <w:bookmarkStart w:id="24" w:name="guidance-hierarchy"/>
    <w:p>
      <w:pPr>
        <w:pStyle w:val="Heading3"/>
      </w:pPr>
      <w:r>
        <w:t xml:space="preserve">Guidance hierarchy</w:t>
      </w:r>
    </w:p>
    <w:p>
      <w:pPr>
        <w:pStyle w:val="FirstParagraph"/>
      </w:pPr>
      <w:r>
        <w:rPr>
          <w:b/>
          <w:bCs/>
        </w:rPr>
        <w:t xml:space="preserve">Bullish</w:t>
      </w:r>
    </w:p>
    <w:p>
      <w:pPr>
        <w:pStyle w:val="Compact"/>
        <w:numPr>
          <w:ilvl w:val="0"/>
          <w:numId w:val="1010"/>
        </w:numPr>
      </w:pPr>
      <w:r>
        <w:t xml:space="preserve">Full-year revenue and EPS guidance raised.</w:t>
      </w:r>
    </w:p>
    <w:p>
      <w:pPr>
        <w:pStyle w:val="Compact"/>
        <w:numPr>
          <w:ilvl w:val="0"/>
          <w:numId w:val="1010"/>
        </w:numPr>
      </w:pPr>
      <w:r>
        <w:t xml:space="preserve">Q4 acceleration reaffirmed or strengthened.</w:t>
      </w:r>
    </w:p>
    <w:p>
      <w:pPr>
        <w:pStyle w:val="Compact"/>
        <w:numPr>
          <w:ilvl w:val="0"/>
          <w:numId w:val="1010"/>
        </w:numPr>
      </w:pPr>
      <w:r>
        <w:t xml:space="preserve">July cross-border and transaction trends remain robust.</w:t>
      </w:r>
    </w:p>
    <w:p>
      <w:pPr>
        <w:pStyle w:val="Compact"/>
        <w:numPr>
          <w:ilvl w:val="0"/>
          <w:numId w:val="1010"/>
        </w:numPr>
      </w:pPr>
      <w:r>
        <w:t xml:space="preserve">Incentive growth is contained.</w:t>
      </w:r>
    </w:p>
    <w:p>
      <w:pPr>
        <w:pStyle w:val="Compact"/>
        <w:numPr>
          <w:ilvl w:val="0"/>
          <w:numId w:val="1010"/>
        </w:numPr>
      </w:pPr>
      <w:r>
        <w:t xml:space="preserve">VAS remains above the medium-term growth framework.</w:t>
      </w:r>
    </w:p>
    <w:p>
      <w:pPr>
        <w:pStyle w:val="FirstParagraph"/>
      </w:pPr>
      <w:r>
        <w:rPr>
          <w:b/>
          <w:bCs/>
        </w:rPr>
        <w:t xml:space="preserve">Neutral</w:t>
      </w:r>
    </w:p>
    <w:p>
      <w:pPr>
        <w:pStyle w:val="Compact"/>
        <w:numPr>
          <w:ilvl w:val="0"/>
          <w:numId w:val="1011"/>
        </w:numPr>
      </w:pPr>
      <w:r>
        <w:t xml:space="preserve">Q3 meets consensus.</w:t>
      </w:r>
    </w:p>
    <w:p>
      <w:pPr>
        <w:pStyle w:val="Compact"/>
        <w:numPr>
          <w:ilvl w:val="0"/>
          <w:numId w:val="1011"/>
        </w:numPr>
      </w:pPr>
      <w:r>
        <w:t xml:space="preserve">Full-year guidance is reiterated.</w:t>
      </w:r>
    </w:p>
    <w:p>
      <w:pPr>
        <w:pStyle w:val="Compact"/>
        <w:numPr>
          <w:ilvl w:val="0"/>
          <w:numId w:val="1011"/>
        </w:numPr>
      </w:pPr>
      <w:r>
        <w:t xml:space="preserve">Management retains the expected Q4 acceleration.</w:t>
      </w:r>
    </w:p>
    <w:p>
      <w:pPr>
        <w:pStyle w:val="Compact"/>
        <w:numPr>
          <w:ilvl w:val="0"/>
          <w:numId w:val="1011"/>
        </w:numPr>
      </w:pPr>
      <w:r>
        <w:t xml:space="preserve">Core operating metrics remain stable.</w:t>
      </w:r>
    </w:p>
    <w:p>
      <w:pPr>
        <w:pStyle w:val="FirstParagraph"/>
      </w:pPr>
      <w:r>
        <w:rPr>
          <w:b/>
          <w:bCs/>
        </w:rPr>
        <w:t xml:space="preserve">Bearish</w:t>
      </w:r>
    </w:p>
    <w:p>
      <w:pPr>
        <w:pStyle w:val="Compact"/>
        <w:numPr>
          <w:ilvl w:val="0"/>
          <w:numId w:val="1012"/>
        </w:numPr>
      </w:pPr>
      <w:r>
        <w:t xml:space="preserve">Revenue misses despite healthy payment volumes.</w:t>
      </w:r>
    </w:p>
    <w:p>
      <w:pPr>
        <w:pStyle w:val="Compact"/>
        <w:numPr>
          <w:ilvl w:val="0"/>
          <w:numId w:val="1012"/>
        </w:numPr>
      </w:pPr>
      <w:r>
        <w:t xml:space="preserve">Incentives or operating expenses rise more than planned.</w:t>
      </w:r>
    </w:p>
    <w:p>
      <w:pPr>
        <w:pStyle w:val="Compact"/>
        <w:numPr>
          <w:ilvl w:val="0"/>
          <w:numId w:val="1012"/>
        </w:numPr>
      </w:pPr>
      <w:r>
        <w:t xml:space="preserve">Cross-border growth drops materially below recent levels.</w:t>
      </w:r>
    </w:p>
    <w:p>
      <w:pPr>
        <w:pStyle w:val="Compact"/>
        <w:numPr>
          <w:ilvl w:val="0"/>
          <w:numId w:val="1012"/>
        </w:numPr>
      </w:pPr>
      <w:r>
        <w:t xml:space="preserve">Q4 acceleration is reduced or deferred.</w:t>
      </w:r>
    </w:p>
    <w:p>
      <w:pPr>
        <w:pStyle w:val="Compact"/>
        <w:numPr>
          <w:ilvl w:val="0"/>
          <w:numId w:val="1012"/>
        </w:numPr>
      </w:pPr>
      <w:r>
        <w:t xml:space="preserve">Full-year guidance is narrowed toward the low end.</w:t>
      </w:r>
    </w:p>
    <w:p>
      <w:r>
        <w:pict>
          <v:rect style="width:0;height:1.5pt" o:hralign="center" o:hrstd="t" o:hr="t"/>
        </w:pict>
      </w:r>
    </w:p>
    <w:bookmarkEnd w:id="24"/>
    <w:bookmarkEnd w:id="25"/>
    <w:bookmarkStart w:id="27" w:name="X87a58d69b5d35a01af1878ea5f63e2e5dbf4355"/>
    <w:p>
      <w:pPr>
        <w:pStyle w:val="Heading2"/>
      </w:pPr>
      <w:r>
        <w:t xml:space="preserve">6. AI and stablecoins are strategically important—but not yet the earnings test</w:t>
      </w:r>
    </w:p>
    <w:p>
      <w:pPr>
        <w:pStyle w:val="FirstParagraph"/>
      </w:pPr>
      <w:r>
        <w:t xml:space="preserve">Visa continues to position itself as the trusted payment and interoperability layer for agentic commerce and stablecoins. In Q2, the company disclosed:</w:t>
      </w:r>
    </w:p>
    <w:p>
      <w:pPr>
        <w:pStyle w:val="Compact"/>
        <w:numPr>
          <w:ilvl w:val="0"/>
          <w:numId w:val="1013"/>
        </w:numPr>
      </w:pPr>
      <w:r>
        <w:t xml:space="preserve">More than 160 stablecoin-linked card programs.</w:t>
      </w:r>
    </w:p>
    <w:p>
      <w:pPr>
        <w:pStyle w:val="Compact"/>
        <w:numPr>
          <w:ilvl w:val="0"/>
          <w:numId w:val="1013"/>
        </w:numPr>
      </w:pPr>
      <w:r>
        <w:t xml:space="preserve">Nearly 200% growth in related payment volume.</w:t>
      </w:r>
    </w:p>
    <w:p>
      <w:pPr>
        <w:pStyle w:val="Compact"/>
        <w:numPr>
          <w:ilvl w:val="0"/>
          <w:numId w:val="1013"/>
        </w:numPr>
      </w:pPr>
      <w:r>
        <w:t xml:space="preserve">A roughly $7 billion annualized stablecoin-settlement run rate.</w:t>
      </w:r>
    </w:p>
    <w:p>
      <w:pPr>
        <w:pStyle w:val="Compact"/>
        <w:numPr>
          <w:ilvl w:val="0"/>
          <w:numId w:val="1013"/>
        </w:numPr>
      </w:pPr>
      <w:r>
        <w:t xml:space="preserve">Support for nine settlement blockchains.</w:t>
      </w:r>
    </w:p>
    <w:p>
      <w:pPr>
        <w:pStyle w:val="FirstParagraph"/>
      </w:pPr>
      <w:r>
        <w:t xml:space="preserve">Since quarter-end, Visa has introduced the Visa Stablecoin Platform, initially in beta with select clients, to provide wallet infrastructure and stablecoin minting, redemption, transfer and management capabilities. (</w:t>
      </w:r>
      <w:hyperlink r:id="rId26">
        <w:r>
          <w:rPr>
            <w:rStyle w:val="Hyperlink"/>
          </w:rPr>
          <w:t xml:space="preserve">usa.visa.com</w:t>
        </w:r>
      </w:hyperlink>
      <w:r>
        <w:t xml:space="preserve">)</w:t>
      </w:r>
    </w:p>
    <w:p>
      <w:pPr>
        <w:pStyle w:val="BodyText"/>
      </w:pPr>
      <w:r>
        <w:t xml:space="preserve">These announcements support the long-term narrative that stablecoins can expand Visa’s addressable market rather than simply disintermediate the network. But investors should not expect material near-term revenue from the newly launched platform. More useful disclosures would include:</w:t>
      </w:r>
    </w:p>
    <w:p>
      <w:pPr>
        <w:pStyle w:val="Compact"/>
        <w:numPr>
          <w:ilvl w:val="0"/>
          <w:numId w:val="1014"/>
        </w:numPr>
      </w:pPr>
      <w:r>
        <w:t xml:space="preserve">Updated stablecoin settlement volume.</w:t>
      </w:r>
    </w:p>
    <w:p>
      <w:pPr>
        <w:pStyle w:val="Compact"/>
        <w:numPr>
          <w:ilvl w:val="0"/>
          <w:numId w:val="1014"/>
        </w:numPr>
      </w:pPr>
      <w:r>
        <w:t xml:space="preserve">Growth in active stablecoin-linked card programs.</w:t>
      </w:r>
    </w:p>
    <w:p>
      <w:pPr>
        <w:pStyle w:val="Compact"/>
        <w:numPr>
          <w:ilvl w:val="0"/>
          <w:numId w:val="1014"/>
        </w:numPr>
      </w:pPr>
      <w:r>
        <w:t xml:space="preserve">Evidence of monetization beyond ordinary card economics.</w:t>
      </w:r>
    </w:p>
    <w:p>
      <w:pPr>
        <w:pStyle w:val="Compact"/>
        <w:numPr>
          <w:ilvl w:val="0"/>
          <w:numId w:val="1014"/>
        </w:numPr>
      </w:pPr>
      <w:r>
        <w:t xml:space="preserve">Adoption of Visa Intelligent Commerce or agentic tokens.</w:t>
      </w:r>
    </w:p>
    <w:p>
      <w:pPr>
        <w:pStyle w:val="Compact"/>
        <w:numPr>
          <w:ilvl w:val="0"/>
          <w:numId w:val="1014"/>
        </w:numPr>
      </w:pPr>
      <w:r>
        <w:t xml:space="preserve">Whether AI products are measurably improving VAS sales and margins.</w:t>
      </w:r>
    </w:p>
    <w:p>
      <w:pPr>
        <w:pStyle w:val="FirstParagraph"/>
      </w:pPr>
      <w:r>
        <w:t xml:space="preserve">The key distinction is between</w:t>
      </w:r>
      <w:r>
        <w:t xml:space="preserve"> </w:t>
      </w:r>
      <w:r>
        <w:rPr>
          <w:b/>
          <w:bCs/>
        </w:rPr>
        <w:t xml:space="preserve">strategic relevance</w:t>
      </w:r>
      <w:r>
        <w:t xml:space="preserve"> </w:t>
      </w:r>
      <w:r>
        <w:t xml:space="preserve">and</w:t>
      </w:r>
      <w:r>
        <w:t xml:space="preserve"> </w:t>
      </w:r>
      <w:r>
        <w:rPr>
          <w:b/>
          <w:bCs/>
        </w:rPr>
        <w:t xml:space="preserve">current financial materiality</w:t>
      </w:r>
      <w:r>
        <w:t xml:space="preserve">.</w:t>
      </w:r>
    </w:p>
    <w:p>
      <w:r>
        <w:pict>
          <v:rect style="width:0;height:1.5pt" o:hralign="center" o:hrstd="t" o:hr="t"/>
        </w:pict>
      </w:r>
    </w:p>
    <w:bookmarkEnd w:id="27"/>
    <w:bookmarkStart w:id="28" w:name="X881b248eb1be9accdd8deac003c27f11e12dc42"/>
    <w:p>
      <w:pPr>
        <w:pStyle w:val="Heading2"/>
      </w:pPr>
      <w:r>
        <w:t xml:space="preserve">7. Capital returns provide support, while litigation remains a background risk</w:t>
      </w:r>
    </w:p>
    <w:p>
      <w:pPr>
        <w:pStyle w:val="FirstParagraph"/>
      </w:pPr>
      <w:r>
        <w:t xml:space="preserve">Visa repurchased a record</w:t>
      </w:r>
      <w:r>
        <w:t xml:space="preserve"> </w:t>
      </w:r>
      <m:oMath>
        <m:r>
          <m:t>7.9</m:t>
        </m:r>
        <m:r>
          <m:t>b</m:t>
        </m:r>
        <m:r>
          <m:t>i</m:t>
        </m:r>
        <m:r>
          <m:t>l</m:t>
        </m:r>
        <m:r>
          <m:t>l</m:t>
        </m:r>
        <m:r>
          <m:t>i</m:t>
        </m:r>
        <m:r>
          <m:t>o</m:t>
        </m:r>
        <m:r>
          <m:t>n</m:t>
        </m:r>
        <m:r>
          <m:rPr>
            <m:sty m:val="p"/>
          </m:rPr>
          <m:t>*</m:t>
        </m:r>
        <m:r>
          <m:rPr>
            <m:sty m:val="p"/>
          </m:rPr>
          <m:t>*</m:t>
        </m:r>
        <m:r>
          <m:t>o</m:t>
        </m:r>
        <m:r>
          <m:t>f</m:t>
        </m:r>
        <m:r>
          <m:t>s</m:t>
        </m:r>
        <m:r>
          <m:t>t</m:t>
        </m:r>
        <m:r>
          <m:t>o</m:t>
        </m:r>
        <m:r>
          <m:t>c</m:t>
        </m:r>
        <m:r>
          <m:t>k</m:t>
        </m:r>
        <m:r>
          <m:t>i</m:t>
        </m:r>
        <m:r>
          <m:t>n</m:t>
        </m:r>
        <m:r>
          <m:t>f</m:t>
        </m:r>
        <m:r>
          <m:t>i</m:t>
        </m:r>
        <m:r>
          <m:t>s</m:t>
        </m:r>
        <m:r>
          <m:t>c</m:t>
        </m:r>
        <m:r>
          <m:t>a</m:t>
        </m:r>
        <m:r>
          <m:t>l</m:t>
        </m:r>
        <m:r>
          <m:t>Q</m:t>
        </m:r>
        <m:r>
          <m:t>2</m:t>
        </m:r>
        <m:r>
          <m:t>a</m:t>
        </m:r>
        <m:r>
          <m:t>n</m:t>
        </m:r>
        <m:r>
          <m:t>d</m:t>
        </m:r>
        <m:r>
          <m:t>e</m:t>
        </m:r>
        <m:r>
          <m:t>n</m:t>
        </m:r>
        <m:r>
          <m:t>t</m:t>
        </m:r>
        <m:r>
          <m:t>e</m:t>
        </m:r>
        <m:r>
          <m:t>r</m:t>
        </m:r>
        <m:r>
          <m:t>e</m:t>
        </m:r>
        <m:r>
          <m:t>d</m:t>
        </m:r>
        <m:r>
          <m:t>t</m:t>
        </m:r>
        <m:r>
          <m:t>h</m:t>
        </m:r>
        <m:r>
          <m:t>e</m:t>
        </m:r>
        <m:r>
          <m:t>q</m:t>
        </m:r>
        <m:r>
          <m:t>u</m:t>
        </m:r>
        <m:r>
          <m:t>a</m:t>
        </m:r>
        <m:r>
          <m:t>r</m:t>
        </m:r>
        <m:r>
          <m:t>t</m:t>
        </m:r>
        <m:r>
          <m:t>e</m:t>
        </m:r>
        <m:r>
          <m:t>r</m:t>
        </m:r>
        <m:r>
          <m:t>w</m:t>
        </m:r>
        <m:r>
          <m:t>i</m:t>
        </m:r>
        <m:r>
          <m:t>t</m:t>
        </m:r>
        <m:r>
          <m:t>h</m:t>
        </m:r>
        <m:r>
          <m:t>r</m:t>
        </m:r>
        <m:r>
          <m:t>o</m:t>
        </m:r>
        <m:r>
          <m:t>u</m:t>
        </m:r>
        <m:r>
          <m:t>g</m:t>
        </m:r>
        <m:r>
          <m:t>h</m:t>
        </m:r>
        <m:r>
          <m:t>l</m:t>
        </m:r>
        <m:r>
          <m:t>y</m:t>
        </m:r>
        <m:r>
          <m:rPr>
            <m:sty m:val="p"/>
          </m:rPr>
          <m:t>*</m:t>
        </m:r>
        <m:r>
          <m:rPr>
            <m:sty m:val="p"/>
          </m:rPr>
          <m:t>*</m:t>
        </m:r>
      </m:oMath>
      <w:r>
        <w:rPr>
          <w:b/>
          <w:bCs/>
        </w:rPr>
        <w:t xml:space="preserve">33 billion of total repurchase capacity</w:t>
      </w:r>
      <w:r>
        <w:t xml:space="preserve"> </w:t>
      </w:r>
      <w:r>
        <w:t xml:space="preserve">after its board approved a new $20 billion authorization. This should continue to reduce the diluted share count and support EPS growth. (</w:t>
      </w:r>
      <w:hyperlink r:id="rId12">
        <w:r>
          <w:rPr>
            <w:rStyle w:val="Hyperlink"/>
          </w:rPr>
          <w:t xml:space="preserve">s1.q4cdn.com</w:t>
        </w:r>
      </w:hyperlink>
      <w:r>
        <w:t xml:space="preserve">)</w:t>
      </w:r>
    </w:p>
    <w:p>
      <w:pPr>
        <w:pStyle w:val="BodyText"/>
      </w:pPr>
      <w:r>
        <w:t xml:space="preserve">At the same time, Visa has continued to accrue substantial amounts for interchange litigation. These charges are generally excluded from adjusted results, but they remain relevant to cash flow and valuation. The forthcoming 10-Q should be checked for changes in litigation accruals, escrow funding, regulatory proceedings and payment-sovereignty risks.</w:t>
      </w:r>
    </w:p>
    <w:p>
      <w:r>
        <w:pict>
          <v:rect style="width:0;height:1.5pt" o:hralign="center" o:hrstd="t" o:hr="t"/>
        </w:pict>
      </w:r>
    </w:p>
    <w:bookmarkEnd w:id="28"/>
    <w:bookmarkStart w:id="29" w:name="stock-setup"/>
    <w:p>
      <w:pPr>
        <w:pStyle w:val="Heading2"/>
      </w:pPr>
      <w:r>
        <w:t xml:space="preserve">Stock setup</w:t>
      </w:r>
    </w:p>
    <w:p>
      <w:pPr>
        <w:pStyle w:val="FirstParagraph"/>
      </w:pPr>
      <w:r>
        <w:t xml:space="preserve">Visa closed July 27 near</w:t>
      </w:r>
      <w:r>
        <w:t xml:space="preserve"> </w:t>
      </w:r>
      <w:r>
        <w:rPr>
          <w:b/>
          <w:bCs/>
        </w:rPr>
        <w:t xml:space="preserve">$362.57</w:t>
      </w:r>
      <w:r>
        <w:t xml:space="preserve">, close to its recent 52-week high. The stock has gained approximately</w:t>
      </w:r>
      <w:r>
        <w:t xml:space="preserve"> </w:t>
      </w:r>
      <w:r>
        <w:rPr>
          <w:b/>
          <w:bCs/>
        </w:rPr>
        <w:t xml:space="preserve">17% since the April 28 earnings report</w:t>
      </w:r>
      <w:r>
        <w:t xml:space="preserve">, although it is up only about 3% for calendar 2026, trailing the S&amp;P 500.</w:t>
      </w:r>
    </w:p>
    <w:p>
      <w:pPr>
        <w:pStyle w:val="BodyText"/>
      </w:pPr>
      <w:r>
        <w:t xml:space="preserve">Using the roughly $13.10 fiscal-year EPS consensus, the shares trade at approximately</w:t>
      </w:r>
      <w:r>
        <w:t xml:space="preserve"> </w:t>
      </w:r>
      <w:r>
        <w:rPr>
          <w:b/>
          <w:bCs/>
        </w:rPr>
        <w:t xml:space="preserve">28 times current-year adjusted earnings</w:t>
      </w:r>
      <w:r>
        <w:t xml:space="preserve">. That is not an extreme valuation for Visa’s quality, but it leaves less room for a report that merely meets consensus while raising questions about incentives, expenses or fiscal Q4 growth. (</w:t>
      </w:r>
      <w:hyperlink r:id="rId23">
        <w:r>
          <w:rPr>
            <w:rStyle w:val="Hyperlink"/>
          </w:rPr>
          <w:t xml:space="preserve">zacks.com</w:t>
        </w:r>
      </w:hyperlink>
      <w:r>
        <w:t xml:space="preserve">)</w:t>
      </w:r>
    </w:p>
    <w:bookmarkEnd w:id="29"/>
    <w:bookmarkStart w:id="30" w:name="bottom-line"/>
    <w:p>
      <w:pPr>
        <w:pStyle w:val="Heading2"/>
      </w:pPr>
      <w:r>
        <w:t xml:space="preserve">Bottom line</w:t>
      </w:r>
    </w:p>
    <w:p>
      <w:pPr>
        <w:pStyle w:val="FirstParagraph"/>
      </w:pPr>
      <w:r>
        <w:t xml:space="preserve">Visa enters the report with strong operating momentum but a deliberately lower Q3 growth bar. The Street’s approximately</w:t>
      </w:r>
      <w:r>
        <w:t xml:space="preserve"> </w:t>
      </w:r>
      <w:r>
        <w:rPr>
          <w:b/>
          <w:bCs/>
        </w:rPr>
        <w:t xml:space="preserve">$11.35 billion revenue and $3.22 EPS</w:t>
      </w:r>
      <w:r>
        <w:t xml:space="preserve"> </w:t>
      </w:r>
      <w:r>
        <w:t xml:space="preserve">expectations appear achievable if payment volumes remain resilient and incentives behave as planned.</w:t>
      </w:r>
    </w:p>
    <w:p>
      <w:pPr>
        <w:pStyle w:val="BodyText"/>
      </w:pPr>
      <w:r>
        <w:t xml:space="preserve">The decisive issue is unlikely to be whether Visa beats EPS by a few cents. It will be whether management can demonstrate that:</w:t>
      </w:r>
    </w:p>
    <w:p>
      <w:pPr>
        <w:pStyle w:val="Compact"/>
        <w:numPr>
          <w:ilvl w:val="0"/>
          <w:numId w:val="1015"/>
        </w:numPr>
      </w:pPr>
      <w:r>
        <w:t xml:space="preserve">Core payment and cross-border growth remain intact.</w:t>
      </w:r>
    </w:p>
    <w:p>
      <w:pPr>
        <w:pStyle w:val="Compact"/>
        <w:numPr>
          <w:ilvl w:val="0"/>
          <w:numId w:val="1015"/>
        </w:numPr>
      </w:pPr>
      <w:r>
        <w:t xml:space="preserve">VAS strength extends beyond event-driven marketing.</w:t>
      </w:r>
    </w:p>
    <w:p>
      <w:pPr>
        <w:pStyle w:val="Compact"/>
        <w:numPr>
          <w:ilvl w:val="0"/>
          <w:numId w:val="1015"/>
        </w:numPr>
      </w:pPr>
      <w:r>
        <w:t xml:space="preserve">Incentive and expense pressure is controlled.</w:t>
      </w:r>
    </w:p>
    <w:p>
      <w:pPr>
        <w:pStyle w:val="Compact"/>
        <w:numPr>
          <w:ilvl w:val="0"/>
          <w:numId w:val="1015"/>
        </w:numPr>
      </w:pPr>
      <w:r>
        <w:t xml:space="preserve">Fiscal Q4 will reaccelerate as promised.</w:t>
      </w:r>
    </w:p>
    <w:p>
      <w:pPr>
        <w:pStyle w:val="Compact"/>
        <w:numPr>
          <w:ilvl w:val="0"/>
          <w:numId w:val="1015"/>
        </w:numPr>
      </w:pPr>
      <w:r>
        <w:t xml:space="preserve">The full-year outlook still has upward, rather than downward, risk.</w:t>
      </w:r>
    </w:p>
    <w:p>
      <w:pPr>
        <w:pStyle w:val="FirstParagraph"/>
      </w:pPr>
      <w:r>
        <w:rPr>
          <w:b/>
          <w:bCs/>
        </w:rPr>
        <w:t xml:space="preserve">The best outcome is a clean revenue beat accompanied by steady core volumes, contained incentives and a full-year guidance increase. A headline EPS beat driven mainly by below-plan incentives or buybacks, without stronger operating guidance, would be less compelling.</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nvestor.visa.com/news/news-details/2026/New-Visa-Data-Reveals-How-the-FIFA-World-Cup-2026-Created-Pop-Up-Economies-Across-Canada-Mexico-and-the-United-States/default.aspx?utm_source=openai" TargetMode="External" /><Relationship Type="http://schemas.openxmlformats.org/officeDocument/2006/relationships/hyperlink" Id="rId12" Target="https://s1.q4cdn.com/050606653/files/doc_financials/2026/q2/CORRECTED-TRANSCRIPT_-Visa-Inc-V-US-Q2-2026-Earnings-Call-28-April-2026-5_00-PM-ET-4.pdf" TargetMode="External" /><Relationship Type="http://schemas.openxmlformats.org/officeDocument/2006/relationships/hyperlink" Id="rId14" Target="https://s1.q4cdn.com/050606653/files/doc_financials/2026/q2/Q2-2026-Earnings-Release_vF.pdf" TargetMode="External" /><Relationship Type="http://schemas.openxmlformats.org/officeDocument/2006/relationships/hyperlink" Id="rId26" Target="https://usa.visa.com/about-visa/newsroom/press-releases.releaseId.22591.html?utm_source=openai" TargetMode="External" /><Relationship Type="http://schemas.openxmlformats.org/officeDocument/2006/relationships/hyperlink" Id="rId9" Target="https://visa.gcs-web.com/news-releases/news-release-details/visa-announce-fiscal-third-quarter-2026-financial-results-july?utm_source=openai" TargetMode="External" /><Relationship Type="http://schemas.openxmlformats.org/officeDocument/2006/relationships/hyperlink" Id="rId10" Target="https://www.benzinga.com/quote/V/earnings?utm_source=openai" TargetMode="External" /><Relationship Type="http://schemas.openxmlformats.org/officeDocument/2006/relationships/hyperlink" Id="rId23" Target="https://www.zacks.com/stock/news/2955189/visa-v-advances-while-market-declines-some-information-for-investors?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nvestor.visa.com/news/news-details/2026/New-Visa-Data-Reveals-How-the-FIFA-World-Cup-2026-Created-Pop-Up-Economies-Across-Canada-Mexico-and-the-United-States/default.aspx?utm_source=openai" TargetMode="External" /><Relationship Type="http://schemas.openxmlformats.org/officeDocument/2006/relationships/hyperlink" Id="rId12" Target="https://s1.q4cdn.com/050606653/files/doc_financials/2026/q2/CORRECTED-TRANSCRIPT_-Visa-Inc-V-US-Q2-2026-Earnings-Call-28-April-2026-5_00-PM-ET-4.pdf" TargetMode="External" /><Relationship Type="http://schemas.openxmlformats.org/officeDocument/2006/relationships/hyperlink" Id="rId14" Target="https://s1.q4cdn.com/050606653/files/doc_financials/2026/q2/Q2-2026-Earnings-Release_vF.pdf" TargetMode="External" /><Relationship Type="http://schemas.openxmlformats.org/officeDocument/2006/relationships/hyperlink" Id="rId26" Target="https://usa.visa.com/about-visa/newsroom/press-releases.releaseId.22591.html?utm_source=openai" TargetMode="External" /><Relationship Type="http://schemas.openxmlformats.org/officeDocument/2006/relationships/hyperlink" Id="rId9" Target="https://visa.gcs-web.com/news-releases/news-release-details/visa-announce-fiscal-third-quarter-2026-financial-results-july?utm_source=openai" TargetMode="External" /><Relationship Type="http://schemas.openxmlformats.org/officeDocument/2006/relationships/hyperlink" Id="rId10" Target="https://www.benzinga.com/quote/V/earnings?utm_source=openai" TargetMode="External" /><Relationship Type="http://schemas.openxmlformats.org/officeDocument/2006/relationships/hyperlink" Id="rId23" Target="https://www.zacks.com/stock/news/2955189/visa-v-advances-while-market-declines-some-information-for-investor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2026-07-28T01:24:51Z</dcterms:created>
  <dcterms:modified xsi:type="dcterms:W3CDTF">2026-07-28T01:24:51Z</dcterms:modified>
</cp:coreProperties>
</file>

<file path=docProps/custom.xml><?xml version="1.0" encoding="utf-8"?>
<Properties xmlns="http://schemas.openxmlformats.org/officeDocument/2006/custom-properties" xmlns:vt="http://schemas.openxmlformats.org/officeDocument/2006/docPropsVTypes"/>
</file>