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v-earnings-predictions--2026-07-28"/>
    <w:p>
      <w:pPr>
        <w:pStyle w:val="Heading1"/>
      </w:pPr>
      <w:r>
        <w:t xml:space="preserve">V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~$11.30B vs. cons $11.27B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~$3.20 vs. cons $3.18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Value-added-services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~$3.73B vs. cons $3.66B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net-revenue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~12.0% vs. cons 12.5%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~12.0% vs. cons 12.7%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Fiscal 4Q adjusted net-revenue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~12.0% vs. cons 12.7% (2026Q4)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Fiscal 4Q adjusted operating-expense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~10.5% vs. cons 11.5% (2026Q4)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-4.5% (FOLLOW-THROUGH)</w:t>
            </w:r>
          </w:p>
        </w:tc>
        <w:tc>
          <w:tcPr/>
          <w:p>
            <w:pPr>
              <w:pStyle w:val="Compact"/>
            </w:pPr>
            <w:r>
              <w:t xml:space="preserve">A modest VAS beat is unlikely to offset in-line ~$11.30B revenue versus</w:t>
            </w:r>
            <w:r>
              <w:t xml:space="preserve"> </w:t>
            </w:r>
            <m:oMath>
              <m:r>
                <m:t>11.27</m:t>
              </m:r>
              <m:r>
                <m:t>B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a</m:t>
              </m:r>
              <m:r>
                <m:t>n</m:t>
              </m:r>
              <m:r>
                <m:t>d</m:t>
              </m:r>
              <m:r>
                <m:t> </m:t>
              </m:r>
            </m:oMath>
            <w:r>
              <w:t xml:space="preserve">3.20 EPS versus $3.18 consensus if FY26 revenue growth is held near 12.0% versus 12.5% expected; the lower 2026Q4 revenue setup drives out-period estimate cuts and extends the initial -2.8% residual toward -4.5%.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2026-07-28T01:23:11Z</dcterms:created>
  <dcterms:modified xsi:type="dcterms:W3CDTF">2026-07-28T01:23:11Z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