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3caf18b5846afaa88bd286f5a05a715fcff64d"/>
    <w:p>
      <w:pPr>
        <w:pStyle w:val="Heading1"/>
      </w:pPr>
      <w:r>
        <w:t xml:space="preserve">Visa (NYSE: V) — Fiscal 3Q26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. The event date listed as</w:t>
      </w:r>
      <w:r>
        <w:t xml:space="preserve"> </w:t>
      </w:r>
      <w:r>
        <w:rPr>
          <w:b/>
          <w:bCs/>
        </w:rPr>
        <w:t xml:space="preserve">2026-07-28</w:t>
      </w:r>
      <w:r>
        <w:t xml:space="preserve"> </w:t>
      </w:r>
      <w:r>
        <w:t xml:space="preserve">therefore indicates Visa reports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Visa historically has released results after the U.S. market close and held its call at 5:00 p.m. ET.</w:t>
      </w:r>
    </w:p>
    <w:bookmarkStart w:id="9" w:name="X84d1c9eee6e293be91aad026d7fce0b9394a8a9"/>
    <w:p>
      <w:pPr>
        <w:pStyle w:val="Heading2"/>
      </w:pPr>
      <w:r>
        <w:t xml:space="preserve">Investment view: a high-quality setup, but the bar is elevated</w:t>
      </w:r>
    </w:p>
    <w:p>
      <w:pPr>
        <w:pStyle w:val="FirstParagraph"/>
      </w:pPr>
      <w:r>
        <w:t xml:space="preserve">Visa enters fiscal 3Q26 with substantial operating momentum following a standout fiscal 2Q:</w:t>
      </w:r>
      <w:r>
        <w:t xml:space="preserve"> </w:t>
      </w:r>
      <w:r>
        <w:rPr>
          <w:b/>
          <w:bCs/>
        </w:rPr>
        <w:t xml:space="preserve">17% revenue growth</w:t>
      </w:r>
      <w:r>
        <w:t xml:space="preserve">,</w:t>
      </w:r>
      <w:r>
        <w:t xml:space="preserve"> </w:t>
      </w:r>
      <w:r>
        <w:rPr>
          <w:b/>
          <w:bCs/>
        </w:rPr>
        <w:t xml:space="preserve">20% adjusted EPS growth</w:t>
      </w:r>
      <w:r>
        <w:t xml:space="preserve">, and a raised full-year outlook. The debate is less about whether Visa can deliver solid growth and more about whether it can sustain the unusually strong growth seen in 2Q while absorbing:</w:t>
      </w:r>
    </w:p>
    <w:p>
      <w:pPr>
        <w:pStyle w:val="Compact"/>
        <w:numPr>
          <w:ilvl w:val="0"/>
          <w:numId w:val="1001"/>
        </w:numPr>
      </w:pPr>
      <w:r>
        <w:t xml:space="preserve">A planned</w:t>
      </w:r>
      <w:r>
        <w:t xml:space="preserve"> </w:t>
      </w:r>
      <w:r>
        <w:rPr>
          <w:b/>
          <w:bCs/>
        </w:rPr>
        <w:t xml:space="preserve">step-up in client incentives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Less favorable</w:t>
      </w:r>
      <w:r>
        <w:t xml:space="preserve"> </w:t>
      </w:r>
      <w:r>
        <w:rPr>
          <w:b/>
          <w:bCs/>
        </w:rPr>
        <w:t xml:space="preserve">volatility</w:t>
      </w:r>
      <w:r>
        <w:t xml:space="preserve"> </w:t>
      </w:r>
      <w:r>
        <w:t xml:space="preserve">comparisons;</w:t>
      </w:r>
    </w:p>
    <w:p>
      <w:pPr>
        <w:pStyle w:val="Compact"/>
        <w:numPr>
          <w:ilvl w:val="0"/>
          <w:numId w:val="1001"/>
        </w:numPr>
      </w:pPr>
      <w:r>
        <w:t xml:space="preserve">Incremental</w:t>
      </w:r>
      <w:r>
        <w:t xml:space="preserve"> </w:t>
      </w:r>
      <w:r>
        <w:rPr>
          <w:b/>
          <w:bCs/>
        </w:rPr>
        <w:t xml:space="preserve">FIFA-related marketing expense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Continuing pressure on cross-border travel from the Middle East conflict.</w:t>
      </w:r>
    </w:p>
    <w:p>
      <w:pPr>
        <w:pStyle w:val="FirstParagraph"/>
      </w:pPr>
      <w:r>
        <w:t xml:space="preserve">The core bull case remains compelling: consumer spend has been resilient, commercial payments and Visa Direct are growing faster than the core, and value-added services (“VAS”) is emerging as a larger, higher-growth contributor. However, management explicitly framed 3Q as the</w:t>
      </w:r>
      <w:r>
        <w:t xml:space="preserve"> </w:t>
      </w:r>
      <w:r>
        <w:rPr>
          <w:b/>
          <w:bCs/>
        </w:rPr>
        <w:t xml:space="preserve">lowest revenue-growth quarter of FY26</w:t>
      </w:r>
      <w:r>
        <w:t xml:space="preserve">, which makes the quality of the beat—and commentary on fiscal 4Q—more important than the headline result alone.</w:t>
      </w:r>
    </w:p>
    <w:p>
      <w:r>
        <w:pict>
          <v:rect style="width:0;height:1.5pt" o:hralign="center" o:hrstd="t" o:hr="t"/>
        </w:pict>
      </w:r>
    </w:p>
    <w:bookmarkEnd w:id="9"/>
    <w:bookmarkStart w:id="11" w:name="what-management-guided-to"/>
    <w:p>
      <w:pPr>
        <w:pStyle w:val="Heading2"/>
      </w:pPr>
      <w:r>
        <w:t xml:space="preserve">What management guided to</w:t>
      </w:r>
    </w:p>
    <w:p>
      <w:pPr>
        <w:pStyle w:val="FirstParagraph"/>
      </w:pPr>
      <w:r>
        <w:t xml:space="preserve">At its April 28 fiscal 2Q call, Visa guided fiscal 3Q26 on an</w:t>
      </w:r>
      <w:r>
        <w:t xml:space="preserve"> </w:t>
      </w:r>
      <w:r>
        <w:rPr>
          <w:b/>
          <w:bCs/>
        </w:rPr>
        <w:t xml:space="preserve">adjusted basis</w:t>
      </w:r>
      <w:r>
        <w:t xml:space="preserve">—non-GAAP, constant currency, and excluding acquisition impacts: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3Q26 management framework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Low double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Operating-expense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Low teens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Mid- to high-single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Non-operating 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$55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 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18.5%</w:t>
            </w:r>
          </w:p>
        </w:tc>
      </w:tr>
    </w:tbl>
    <w:p>
      <w:pPr>
        <w:pStyle w:val="BodyText"/>
      </w:pPr>
      <w:r>
        <w:t xml:space="preserve">Visa also said Prisma and Newpay should add roughly</w:t>
      </w:r>
      <w:r>
        <w:t xml:space="preserve"> </w:t>
      </w:r>
      <w:r>
        <w:rPr>
          <w:b/>
          <w:bCs/>
        </w:rPr>
        <w:t xml:space="preserve">1.5 percentage points</w:t>
      </w:r>
      <w:r>
        <w:t xml:space="preserve"> </w:t>
      </w:r>
      <w:r>
        <w:t xml:space="preserve">to nominal revenue growth,</w:t>
      </w:r>
      <w:r>
        <w:t xml:space="preserve"> </w:t>
      </w:r>
      <w:r>
        <w:rPr>
          <w:b/>
          <w:bCs/>
        </w:rPr>
        <w:t xml:space="preserve">2 points</w:t>
      </w:r>
      <w:r>
        <w:t xml:space="preserve"> </w:t>
      </w:r>
      <w:r>
        <w:t xml:space="preserve">to operating-expense growth, and</w:t>
      </w:r>
      <w:r>
        <w:t xml:space="preserve"> </w:t>
      </w:r>
      <w:r>
        <w:rPr>
          <w:b/>
          <w:bCs/>
        </w:rPr>
        <w:t xml:space="preserve">0.5 point</w:t>
      </w:r>
      <w:r>
        <w:t xml:space="preserve"> </w:t>
      </w:r>
      <w:r>
        <w:t xml:space="preserve">to nominal EPS growth in 3Q.</w:t>
      </w:r>
    </w:p>
    <w:p>
      <w:pPr>
        <w:pStyle w:val="BodyText"/>
      </w:pPr>
      <w:r>
        <w:t xml:space="preserve">For context, fiscal 3Q25 produced</w:t>
      </w:r>
      <w:r>
        <w:t xml:space="preserve"> </w:t>
      </w:r>
      <m:oMath>
        <m:r>
          <m:t>10.17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2.98 of adjusted EPS</w:t>
      </w:r>
      <w:r>
        <w:t xml:space="preserve">. Management’s framework implies an approximate adjusted revenue scale of</w:t>
      </w:r>
      <w:r>
        <w:t xml:space="preserve"> </w:t>
      </w:r>
      <w:r>
        <w:rPr>
          <w:b/>
          <w:bCs/>
        </w:rPr>
        <w:t xml:space="preserve">$11.2 billion-plus</w:t>
      </w:r>
      <w:r>
        <w:t xml:space="preserve">, though reported revenue will also reflect FX and acquisition effects.</w:t>
      </w:r>
    </w:p>
    <w:bookmarkStart w:id="10" w:name="X1966da93622fe23a99491ba3231c7000472badb"/>
    <w:p>
      <w:pPr>
        <w:pStyle w:val="Heading3"/>
      </w:pPr>
      <w:r>
        <w:t xml:space="preserve">Why EPS growth is set to decelerate more than revenue</w:t>
      </w:r>
    </w:p>
    <w:p>
      <w:pPr>
        <w:pStyle w:val="FirstParagraph"/>
      </w:pPr>
      <w:r>
        <w:t xml:space="preserve">The year-over-year EPS comparison contains several mechanical headwinds: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Non-operating income reverses:</w:t>
      </w:r>
      <w:r>
        <w:t xml:space="preserve"> </w:t>
      </w:r>
      <w:r>
        <w:t xml:space="preserve">fiscal 3Q25 had $191 million of adjusted non-operating income, while 3Q26 is expected to have roughly $55 million of expense.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Tax rate rises:</w:t>
      </w:r>
      <w:r>
        <w:t xml:space="preserve"> </w:t>
      </w:r>
      <w:r>
        <w:t xml:space="preserve">fiscal 3Q25’s adjusted tax rate was 17.3%, versus guidance near 18.5%.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Operating investments increase:</w:t>
      </w:r>
      <w:r>
        <w:t xml:space="preserve"> </w:t>
      </w:r>
      <w:r>
        <w:t xml:space="preserve">FIFA-related marketing is expected to raise expense growth into the low teens.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 mix and incentives matter:</w:t>
      </w:r>
      <w:r>
        <w:t xml:space="preserve"> </w:t>
      </w:r>
      <w:r>
        <w:t xml:space="preserve">client-incentive growth is expected to rise from fiscal 2Q levels.</w:t>
      </w:r>
    </w:p>
    <w:p>
      <w:pPr>
        <w:pStyle w:val="FirstParagraph"/>
      </w:pPr>
      <w:r>
        <w:t xml:space="preserve">This means investors should focus on revenue quality and forward indicators rather than treating mid/high-single-digit EPS growth as a sign of deteriorating fundamentals.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the-key-operating-questions"/>
    <w:p>
      <w:pPr>
        <w:pStyle w:val="Heading2"/>
      </w:pPr>
      <w:r>
        <w:t xml:space="preserve">The key operating questions</w:t>
      </w:r>
    </w:p>
    <w:bookmarkEnd w:id="12"/>
    <w:bookmarkStart w:id="13" w:name="X5951cd989d4ae3c3a910f5077f36e6da15c3e1e"/>
    <w:p>
      <w:pPr>
        <w:pStyle w:val="Heading2"/>
      </w:pPr>
      <w:r>
        <w:t xml:space="preserve">1. Are payments-volume trends holding near 2Q strength?</w:t>
      </w:r>
    </w:p>
    <w:p>
      <w:pPr>
        <w:pStyle w:val="FirstParagraph"/>
      </w:pPr>
      <w:r>
        <w:t xml:space="preserve">Visa reported</w:t>
      </w:r>
      <w:r>
        <w:t xml:space="preserve"> </w:t>
      </w:r>
      <w:r>
        <w:rPr>
          <w:b/>
          <w:bCs/>
        </w:rPr>
        <w:t xml:space="preserve">9% constant-currency payments-volume growth</w:t>
      </w:r>
      <w:r>
        <w:t xml:space="preserve"> </w:t>
      </w:r>
      <w:r>
        <w:t xml:space="preserve">in fiscal 2Q, including</w:t>
      </w:r>
      <w:r>
        <w:t xml:space="preserve"> </w:t>
      </w:r>
      <w:r>
        <w:rPr>
          <w:b/>
          <w:bCs/>
        </w:rPr>
        <w:t xml:space="preserve">8% U.S. volume growth</w:t>
      </w:r>
      <w:r>
        <w:t xml:space="preserve">. Importantly, fiscal 3Q service revenue is based largely on fiscal 2Q payment volumes, providing a favorable starting point for the reported revenue base.</w:t>
      </w:r>
    </w:p>
    <w:p>
      <w:pPr>
        <w:pStyle w:val="BodyText"/>
      </w:pPr>
      <w:r>
        <w:t xml:space="preserve">The more consequential question is the June-quarter exit rate:</w:t>
      </w:r>
    </w:p>
    <w:p>
      <w:pPr>
        <w:pStyle w:val="Compact"/>
        <w:numPr>
          <w:ilvl w:val="0"/>
          <w:numId w:val="1003"/>
        </w:numPr>
      </w:pPr>
      <w:r>
        <w:t xml:space="preserve">Are U.S. credit and debit still accelerating?</w:t>
      </w:r>
    </w:p>
    <w:p>
      <w:pPr>
        <w:pStyle w:val="Compact"/>
        <w:numPr>
          <w:ilvl w:val="0"/>
          <w:numId w:val="1003"/>
        </w:numPr>
      </w:pPr>
      <w:r>
        <w:t xml:space="preserve">Does discretionary spend remain resilient?</w:t>
      </w:r>
    </w:p>
    <w:p>
      <w:pPr>
        <w:pStyle w:val="Compact"/>
        <w:numPr>
          <w:ilvl w:val="0"/>
          <w:numId w:val="1003"/>
        </w:numPr>
      </w:pPr>
      <w:r>
        <w:t xml:space="preserve">Is growth broad-based by income cohort and merchant category?</w:t>
      </w:r>
    </w:p>
    <w:p>
      <w:pPr>
        <w:pStyle w:val="Compact"/>
        <w:numPr>
          <w:ilvl w:val="0"/>
          <w:numId w:val="1003"/>
        </w:numPr>
      </w:pPr>
      <w:r>
        <w:t xml:space="preserve">Has higher fuel cost or consumer caution started to affect spend?</w:t>
      </w:r>
    </w:p>
    <w:p>
      <w:pPr>
        <w:pStyle w:val="FirstParagraph"/>
      </w:pPr>
      <w:r>
        <w:t xml:space="preserve">Management said in April that it did not see weakness in lower-spend consumers. Confirmation—or reversal—of that observation will be closely watched.</w:t>
      </w:r>
    </w:p>
    <w:bookmarkEnd w:id="13"/>
    <w:bookmarkStart w:id="14" w:name="X58e006266a185ff5b788633de88b0ff90beb10f"/>
    <w:p>
      <w:pPr>
        <w:pStyle w:val="Heading2"/>
      </w:pPr>
      <w:r>
        <w:t xml:space="preserve">2. Can cross-border stay resilient despite travel disruption?</w:t>
      </w:r>
    </w:p>
    <w:p>
      <w:pPr>
        <w:pStyle w:val="FirstParagraph"/>
      </w:pPr>
      <w:r>
        <w:t xml:space="preserve">Cross-border remains Visa’s most closely scrutinized variable. In fiscal 2Q:</w:t>
      </w:r>
    </w:p>
    <w:p>
      <w:pPr>
        <w:pStyle w:val="Compact"/>
        <w:numPr>
          <w:ilvl w:val="0"/>
          <w:numId w:val="1004"/>
        </w:numPr>
      </w:pPr>
      <w:r>
        <w:t xml:space="preserve">Cross-border volume excluding intra-Europe rose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in constant currency.</w:t>
      </w:r>
    </w:p>
    <w:p>
      <w:pPr>
        <w:pStyle w:val="Compact"/>
        <w:numPr>
          <w:ilvl w:val="0"/>
          <w:numId w:val="1004"/>
        </w:numPr>
      </w:pPr>
      <w:r>
        <w:t xml:space="preserve">Cross-border e-commerce grew</w:t>
      </w:r>
      <w:r>
        <w:t xml:space="preserve"> </w:t>
      </w:r>
      <w:r>
        <w:rPr>
          <w:b/>
          <w:bCs/>
        </w:rPr>
        <w:t xml:space="preserve">13%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Cross-border travel grew</w:t>
      </w:r>
      <w:r>
        <w:t xml:space="preserve"> </w:t>
      </w:r>
      <w:r>
        <w:rPr>
          <w:b/>
          <w:bCs/>
        </w:rPr>
        <w:t xml:space="preserve">10%</w:t>
      </w:r>
      <w:r>
        <w:t xml:space="preserve">.</w:t>
      </w:r>
    </w:p>
    <w:p>
      <w:pPr>
        <w:pStyle w:val="FirstParagraph"/>
      </w:pPr>
      <w:r>
        <w:t xml:space="preserve">However, the April update showed cross-border growth slowing to</w:t>
      </w:r>
      <w:r>
        <w:t xml:space="preserve"> </w:t>
      </w:r>
      <w:r>
        <w:rPr>
          <w:b/>
          <w:bCs/>
        </w:rPr>
        <w:t xml:space="preserve">9%</w:t>
      </w:r>
      <w:r>
        <w:t xml:space="preserve">, with travel up only</w:t>
      </w:r>
      <w:r>
        <w:t xml:space="preserve"> </w:t>
      </w:r>
      <w:r>
        <w:rPr>
          <w:b/>
          <w:bCs/>
        </w:rPr>
        <w:t xml:space="preserve">5%</w:t>
      </w:r>
      <w:r>
        <w:t xml:space="preserve">. Management attributed much of the deceleration to Ramadan timing and the Middle East conflict, saying that normalization for Ramadan would bring overall cross-border growth closer to February levels.</w:t>
      </w:r>
    </w:p>
    <w:p>
      <w:pPr>
        <w:pStyle w:val="BodyText"/>
      </w:pPr>
      <w:r>
        <w:t xml:space="preserve">For 3Q, investors should distinguish between: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Cross-border e-commerce</w:t>
      </w:r>
      <w:r>
        <w:t xml:space="preserve">, which has been faster-growing and is now a larger component of the business; and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Travel-related cross-border</w:t>
      </w:r>
      <w:r>
        <w:t xml:space="preserve">, where disruption in the Middle East and airline/fuel-related pressure could remain a headwind.</w:t>
      </w:r>
    </w:p>
    <w:p>
      <w:pPr>
        <w:pStyle w:val="FirstParagraph"/>
      </w:pPr>
      <w:r>
        <w:t xml:space="preserve">Visa emphasized that CEMEA is only about</w:t>
      </w:r>
      <w:r>
        <w:t xml:space="preserve"> </w:t>
      </w:r>
      <w:r>
        <w:rPr>
          <w:b/>
          <w:bCs/>
        </w:rPr>
        <w:t xml:space="preserve">6% of global payments volume</w:t>
      </w:r>
      <w:r>
        <w:t xml:space="preserve">, which limits the direct exposure, but travel disruption can have broader second-order effects.</w:t>
      </w:r>
    </w:p>
    <w:bookmarkEnd w:id="14"/>
    <w:bookmarkStart w:id="15" w:name="X013f63b0e1242acaff60de4a9d9a70510878909"/>
    <w:p>
      <w:pPr>
        <w:pStyle w:val="Heading2"/>
      </w:pPr>
      <w:r>
        <w:t xml:space="preserve">3. Is VAS growth durable, or was 2Q unusually favorable?</w:t>
      </w:r>
    </w:p>
    <w:p>
      <w:pPr>
        <w:pStyle w:val="FirstParagraph"/>
      </w:pPr>
      <w:r>
        <w:t xml:space="preserve">VAS is the most important upside lever in the story. In fiscal 2Q, VAS revenue grew</w:t>
      </w:r>
      <w:r>
        <w:t xml:space="preserve"> </w:t>
      </w:r>
      <w:r>
        <w:rPr>
          <w:b/>
          <w:bCs/>
        </w:rPr>
        <w:t xml:space="preserve">27% in constant currency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$3.3 billion</w:t>
      </w:r>
      <w:r>
        <w:t xml:space="preserve">, representing roughly</w:t>
      </w:r>
      <w:r>
        <w:t xml:space="preserve"> </w:t>
      </w:r>
      <w:r>
        <w:rPr>
          <w:b/>
          <w:bCs/>
        </w:rPr>
        <w:t xml:space="preserve">30% of Visa’s net revenue</w:t>
      </w:r>
      <w:r>
        <w:t xml:space="preserve">. Growth was broad-based across issuer, acceptance, risk, network, advisory, and marketing services.</w:t>
      </w:r>
    </w:p>
    <w:p>
      <w:pPr>
        <w:pStyle w:val="BodyText"/>
      </w:pPr>
      <w:r>
        <w:t xml:space="preserve">Key supports include:</w:t>
      </w:r>
    </w:p>
    <w:p>
      <w:pPr>
        <w:pStyle w:val="Compact"/>
        <w:numPr>
          <w:ilvl w:val="0"/>
          <w:numId w:val="1006"/>
        </w:numPr>
      </w:pPr>
      <w:r>
        <w:t xml:space="preserve">AI-enabled fraud, authorization, and risk-management products;</w:t>
      </w:r>
    </w:p>
    <w:p>
      <w:pPr>
        <w:pStyle w:val="Compact"/>
        <w:numPr>
          <w:ilvl w:val="0"/>
          <w:numId w:val="1006"/>
        </w:numPr>
      </w:pPr>
      <w:r>
        <w:t xml:space="preserve">Demand for network and issuer-processing tools;</w:t>
      </w:r>
    </w:p>
    <w:p>
      <w:pPr>
        <w:pStyle w:val="Compact"/>
        <w:numPr>
          <w:ilvl w:val="0"/>
          <w:numId w:val="1006"/>
        </w:numPr>
      </w:pPr>
      <w:r>
        <w:t xml:space="preserve">Marketing services tied to Visa’s FIFA sponsorship;</w:t>
      </w:r>
    </w:p>
    <w:p>
      <w:pPr>
        <w:pStyle w:val="Compact"/>
        <w:numPr>
          <w:ilvl w:val="0"/>
          <w:numId w:val="1006"/>
        </w:numPr>
      </w:pPr>
      <w:r>
        <w:t xml:space="preserve">Pismo’s cloud-native processing platform;</w:t>
      </w:r>
    </w:p>
    <w:p>
      <w:pPr>
        <w:pStyle w:val="Compact"/>
        <w:numPr>
          <w:ilvl w:val="0"/>
          <w:numId w:val="1006"/>
        </w:numPr>
      </w:pPr>
      <w:r>
        <w:t xml:space="preserve">Growing transaction-linked services, including account updater, authentication, and dispute tools.</w:t>
      </w:r>
    </w:p>
    <w:p>
      <w:pPr>
        <w:pStyle w:val="FirstParagraph"/>
      </w:pPr>
      <w:r>
        <w:t xml:space="preserve">The important caveat: management identified stronger network-product demand and marketing services as sources of 2Q upside. It also said commercial and money-movement growth benefited from</w:t>
      </w:r>
      <w:r>
        <w:t xml:space="preserve"> </w:t>
      </w:r>
      <w:r>
        <w:rPr>
          <w:b/>
          <w:bCs/>
        </w:rPr>
        <w:t xml:space="preserve">deal timing and performance adjustments</w:t>
      </w:r>
      <w:r>
        <w:t xml:space="preserve"> </w:t>
      </w:r>
      <w:r>
        <w:t xml:space="preserve">that are not necessarily recurring. Investors should look for evidence that core VAS growth remains in the 20%-plus range excluding event-related marketing activity.</w:t>
      </w:r>
    </w:p>
    <w:bookmarkEnd w:id="15"/>
    <w:bookmarkStart w:id="16" w:name="Xa10e1843380e197f943952197421dce1f10c65b"/>
    <w:p>
      <w:pPr>
        <w:pStyle w:val="Heading2"/>
      </w:pPr>
      <w:r>
        <w:t xml:space="preserve">4. Do FIFA activations create profitable incremental revenue?</w:t>
      </w:r>
    </w:p>
    <w:p>
      <w:pPr>
        <w:pStyle w:val="FirstParagraph"/>
      </w:pPr>
      <w:r>
        <w:t xml:space="preserve">Visa expects FIFA-related marketing services to be both a revenue opportunity and an expense driver. Management characterized the marketing activity as high-yielding and profitable, but fiscal 3Q is expected to bear a meaningful portion of the associated investment.</w:t>
      </w:r>
    </w:p>
    <w:p>
      <w:pPr>
        <w:pStyle w:val="BodyText"/>
      </w:pPr>
      <w:r>
        <w:t xml:space="preserve">The most constructive outcome would be:</w:t>
      </w:r>
    </w:p>
    <w:p>
      <w:pPr>
        <w:pStyle w:val="Compact"/>
        <w:numPr>
          <w:ilvl w:val="0"/>
          <w:numId w:val="1007"/>
        </w:numPr>
      </w:pPr>
      <w:r>
        <w:t xml:space="preserve">Strong marketing-services revenue;</w:t>
      </w:r>
    </w:p>
    <w:p>
      <w:pPr>
        <w:pStyle w:val="Compact"/>
        <w:numPr>
          <w:ilvl w:val="0"/>
          <w:numId w:val="1007"/>
        </w:numPr>
      </w:pPr>
      <w:r>
        <w:t xml:space="preserve">Evidence that campaigns are increasing card issuance, active-card counts, and payment volumes for issuer clients;</w:t>
      </w:r>
    </w:p>
    <w:p>
      <w:pPr>
        <w:pStyle w:val="Compact"/>
        <w:numPr>
          <w:ilvl w:val="0"/>
          <w:numId w:val="1007"/>
        </w:numPr>
      </w:pPr>
      <w:r>
        <w:t xml:space="preserve">No material erosion in consolidated operating leverage; and</w:t>
      </w:r>
    </w:p>
    <w:p>
      <w:pPr>
        <w:pStyle w:val="Compact"/>
        <w:numPr>
          <w:ilvl w:val="0"/>
          <w:numId w:val="1007"/>
        </w:numPr>
      </w:pPr>
      <w:r>
        <w:t xml:space="preserve">Commentary supporting a fiscal 4Q revenue-growth reacceleration.</w:t>
      </w:r>
    </w:p>
    <w:p>
      <w:pPr>
        <w:pStyle w:val="FirstParagraph"/>
      </w:pPr>
      <w:r>
        <w:t xml:space="preserve">Visa’s own guidance implies roughly a</w:t>
      </w:r>
      <w:r>
        <w:t xml:space="preserve"> </w:t>
      </w:r>
      <w:r>
        <w:rPr>
          <w:b/>
          <w:bCs/>
        </w:rPr>
        <w:t xml:space="preserve">one-point revenue-growth step-up from 3Q to 4Q</w:t>
      </w:r>
      <w:r>
        <w:t xml:space="preserve">, principally from less volatility drag and stronger marketing-services revenue. That 4Q setup may matter more to the stock than 3Q’s reported growth rate.</w:t>
      </w:r>
    </w:p>
    <w:p>
      <w:r>
        <w:pict>
          <v:rect style="width:0;height:1.5pt" o:hralign="center" o:hrstd="t" o:hr="t"/>
        </w:pict>
      </w:r>
    </w:p>
    <w:bookmarkEnd w:id="16"/>
    <w:bookmarkStart w:id="17" w:name="X128bc6db314537a0990170c4470d98e5ed24d2f"/>
    <w:p>
      <w:pPr>
        <w:pStyle w:val="Heading2"/>
      </w:pPr>
      <w:r>
        <w:t xml:space="preserve">The revenue bridge investors should watch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Driver</w:t>
            </w:r>
          </w:p>
        </w:tc>
        <w:tc>
          <w:tcPr/>
          <w:p>
            <w:pPr>
              <w:pStyle w:val="Compact"/>
            </w:pPr>
            <w:r>
              <w:t xml:space="preserve">3Q 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 revenue</w:t>
            </w:r>
          </w:p>
        </w:tc>
        <w:tc>
          <w:tcPr/>
          <w:p>
            <w:pPr>
              <w:pStyle w:val="Compact"/>
            </w:pPr>
            <w:r>
              <w:t xml:space="preserve">Favorable setup: recognizes prior-quarter payment volume, which grew 9% in fiscal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processing</w:t>
            </w:r>
          </w:p>
        </w:tc>
        <w:tc>
          <w:tcPr/>
          <w:p>
            <w:pPr>
              <w:pStyle w:val="Compact"/>
            </w:pPr>
            <w:r>
              <w:t xml:space="preserve">Should benefit from continued transaction growth, pricing, and VAS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transaction revenue</w:t>
            </w:r>
          </w:p>
        </w:tc>
        <w:tc>
          <w:tcPr/>
          <w:p>
            <w:pPr>
              <w:pStyle w:val="Compact"/>
            </w:pPr>
            <w:r>
              <w:t xml:space="preserve">Dependent on cross-border e-commerce, travel, FX volatility, and mix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revenue</w:t>
            </w:r>
          </w:p>
        </w:tc>
        <w:tc>
          <w:tcPr/>
          <w:p>
            <w:pPr>
              <w:pStyle w:val="Compact"/>
            </w:pPr>
            <w:r>
              <w:t xml:space="preserve">VAS, advisory, Pismo, and FIFA marketing are key upside variables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Client incentives</w:t>
            </w:r>
          </w:p>
        </w:tc>
        <w:tc>
          <w:tcPr/>
          <w:p>
            <w:pPr>
              <w:pStyle w:val="Compact"/>
            </w:pPr>
            <w:r>
              <w:t xml:space="preserve">Expected to grow faster than in 2Q, creating a revenue-growth headwind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Second-half pricing actions should partly offset incentive and volatility pressure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X7d21e4377bd6c0f2fb960c049b201830659e468"/>
    <w:p>
      <w:pPr>
        <w:pStyle w:val="Heading2"/>
      </w:pPr>
      <w:r>
        <w:t xml:space="preserve">Capital return remains a meaningful EPS support</w:t>
      </w:r>
    </w:p>
    <w:p>
      <w:pPr>
        <w:pStyle w:val="FirstParagraph"/>
      </w:pPr>
      <w:r>
        <w:t xml:space="preserve">Visa repurchased</w:t>
      </w:r>
      <w:r>
        <w:t xml:space="preserve"> </w:t>
      </w:r>
      <m:oMath>
        <m:r>
          <m:t>7.9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f</m:t>
        </m:r>
        <m:r>
          <m:t>i</m:t>
        </m:r>
        <m:r>
          <m:t>s</m:t>
        </m:r>
        <m:r>
          <m:t>c</m:t>
        </m:r>
        <m:r>
          <m:t>a</m:t>
        </m:r>
        <m:r>
          <m:t>l</m:t>
        </m:r>
        <m:r>
          <m:t>2</m:t>
        </m:r>
        <m:r>
          <m:t>Q</m:t>
        </m:r>
        <m:r>
          <m:rPr>
            <m:sty m:val="p"/>
          </m:rPr>
          <m:t>—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’</m:t>
        </m:r>
        <m:r>
          <m:t>s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t>t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rPr>
            <m:sty m:val="p"/>
          </m:rPr>
          <m:t>—</m:t>
        </m:r>
        <m:r>
          <m:t>a</m:t>
        </m:r>
        <m:r>
          <m:t>n</m:t>
        </m:r>
        <m:r>
          <m:t>d</m:t>
        </m:r>
        <m:r>
          <m:t>p</m:t>
        </m:r>
        <m:r>
          <m:t>a</m:t>
        </m:r>
        <m:r>
          <m:t>i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1.3 billion</w:t>
      </w:r>
      <w:r>
        <w:t xml:space="preserve"> </w:t>
      </w:r>
      <w:r>
        <w:t xml:space="preserve">in dividends. It ended March with about</w:t>
      </w:r>
      <w:r>
        <w:t xml:space="preserve"> </w:t>
      </w:r>
      <m:oMath>
        <m:r>
          <m:t>13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o</m:t>
        </m:r>
        <m:r>
          <m:t>n</m:t>
        </m:r>
        <m:r>
          <m:t>i</m:t>
        </m:r>
        <m:r>
          <m:t>t</m:t>
        </m:r>
        <m:r>
          <m:t>s</m:t>
        </m:r>
        <m:r>
          <m:t>e</m:t>
        </m:r>
        <m:r>
          <m:t>x</m:t>
        </m:r>
        <m:r>
          <m:t>i</m:t>
        </m:r>
        <m:r>
          <m:t>s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e</m:t>
        </m:r>
        <m:r>
          <m:t>c</m:t>
        </m:r>
        <m:r>
          <m:t>e</m:t>
        </m:r>
        <m:r>
          <m:t>i</m:t>
        </m:r>
        <m:r>
          <m:t>v</m:t>
        </m:r>
        <m:r>
          <m:t>e</m:t>
        </m:r>
        <m:r>
          <m:t>d</m:t>
        </m:r>
        <m:r>
          <m:t>a</m:t>
        </m:r>
        <m:r>
          <m:t>n</m:t>
        </m:r>
        <m:r>
          <m:t>e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 billion</w:t>
      </w:r>
      <w:r>
        <w:t xml:space="preserve"> </w:t>
      </w:r>
      <w:r>
        <w:t xml:space="preserve">multi-year authorization.</w:t>
      </w:r>
    </w:p>
    <w:p>
      <w:pPr>
        <w:pStyle w:val="BodyText"/>
      </w:pPr>
      <w:r>
        <w:t xml:space="preserve">That provides:</w:t>
      </w:r>
    </w:p>
    <w:p>
      <w:pPr>
        <w:pStyle w:val="Compact"/>
        <w:numPr>
          <w:ilvl w:val="0"/>
          <w:numId w:val="1008"/>
        </w:numPr>
      </w:pPr>
      <w:r>
        <w:t xml:space="preserve">Continued support for diluted-share-count reduction;</w:t>
      </w:r>
    </w:p>
    <w:p>
      <w:pPr>
        <w:pStyle w:val="Compact"/>
        <w:numPr>
          <w:ilvl w:val="0"/>
          <w:numId w:val="1008"/>
        </w:numPr>
      </w:pPr>
      <w:r>
        <w:t xml:space="preserve">Flexibility to return capital even while funding acquisitions and investments;</w:t>
      </w:r>
    </w:p>
    <w:p>
      <w:pPr>
        <w:pStyle w:val="Compact"/>
        <w:numPr>
          <w:ilvl w:val="0"/>
          <w:numId w:val="1008"/>
        </w:numPr>
      </w:pPr>
      <w:r>
        <w:t xml:space="preserve">A durable underpinning for per-share earnings growth.</w:t>
      </w:r>
    </w:p>
    <w:p>
      <w:pPr>
        <w:pStyle w:val="FirstParagraph"/>
      </w:pPr>
      <w:r>
        <w:t xml:space="preserve">The main near-term consideration is not capital capacity, but whether operating growth and margins remain strong enough to justify continued aggressive repurchases at prevailing valuation levels.</w:t>
      </w:r>
    </w:p>
    <w:p>
      <w:r>
        <w:pict>
          <v:rect style="width:0;height:1.5pt" o:hralign="center" o:hrstd="t" o:hr="t"/>
        </w:pict>
      </w:r>
    </w:p>
    <w:bookmarkEnd w:id="18"/>
    <w:bookmarkStart w:id="22" w:name="bull-base-and-bear-framing"/>
    <w:p>
      <w:pPr>
        <w:pStyle w:val="Heading2"/>
      </w:pPr>
      <w:r>
        <w:t xml:space="preserve">Bull, base, and bear framing</w:t>
      </w:r>
    </w:p>
    <w:bookmarkStart w:id="1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9"/>
        </w:numPr>
      </w:pPr>
      <w:r>
        <w:t xml:space="preserve">Revenue growth exceeds the low-double-digit framework despite higher incentives.</w:t>
      </w:r>
    </w:p>
    <w:p>
      <w:pPr>
        <w:pStyle w:val="Compact"/>
        <w:numPr>
          <w:ilvl w:val="0"/>
          <w:numId w:val="1009"/>
        </w:numPr>
      </w:pPr>
      <w:r>
        <w:t xml:space="preserve">Cross-border normalizes better than feared, with e-commerce offsetting travel softness.</w:t>
      </w:r>
    </w:p>
    <w:p>
      <w:pPr>
        <w:pStyle w:val="Compact"/>
        <w:numPr>
          <w:ilvl w:val="0"/>
          <w:numId w:val="1009"/>
        </w:numPr>
      </w:pPr>
      <w:r>
        <w:t xml:space="preserve">VAS remains above 20% growth on broad-based demand, rather than primarily FIFA-related marketing.</w:t>
      </w:r>
    </w:p>
    <w:p>
      <w:pPr>
        <w:pStyle w:val="Compact"/>
        <w:numPr>
          <w:ilvl w:val="0"/>
          <w:numId w:val="1009"/>
        </w:numPr>
      </w:pPr>
      <w:r>
        <w:t xml:space="preserve">FIFA campaigns show measurable client-volume and active-card benefits.</w:t>
      </w:r>
    </w:p>
    <w:p>
      <w:pPr>
        <w:pStyle w:val="Compact"/>
        <w:numPr>
          <w:ilvl w:val="0"/>
          <w:numId w:val="1009"/>
        </w:numPr>
      </w:pPr>
      <w:r>
        <w:t xml:space="preserve">Management reaffirms—or raises—its full-year low-double-digit-to-low-teens revenue outlook and low-teens EPS outlook.</w:t>
      </w:r>
    </w:p>
    <w:p>
      <w:pPr>
        <w:pStyle w:val="Compact"/>
        <w:numPr>
          <w:ilvl w:val="0"/>
          <w:numId w:val="1009"/>
        </w:numPr>
      </w:pPr>
      <w:r>
        <w:t xml:space="preserve">Fiscal 4Q acceleration appears increasingly credible.</w:t>
      </w:r>
    </w:p>
    <w:bookmarkEnd w:id="19"/>
    <w:bookmarkStart w:id="2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Visa delivers low-double-digit adjusted revenue growth and mid/high-single-digit adjusted EPS growth broadly consistent with guidance.</w:t>
      </w:r>
    </w:p>
    <w:p>
      <w:pPr>
        <w:pStyle w:val="Compact"/>
        <w:numPr>
          <w:ilvl w:val="0"/>
          <w:numId w:val="1010"/>
        </w:numPr>
      </w:pPr>
      <w:r>
        <w:t xml:space="preserve">Payments-volume growth remains healthy but moderates modestly from fiscal 2Q.</w:t>
      </w:r>
    </w:p>
    <w:p>
      <w:pPr>
        <w:pStyle w:val="Compact"/>
        <w:numPr>
          <w:ilvl w:val="0"/>
          <w:numId w:val="1010"/>
        </w:numPr>
      </w:pPr>
      <w:r>
        <w:t xml:space="preserve">Cross-border travel remains pressured, offset partially by e-commerce and commercial volume.</w:t>
      </w:r>
    </w:p>
    <w:p>
      <w:pPr>
        <w:pStyle w:val="Compact"/>
        <w:numPr>
          <w:ilvl w:val="0"/>
          <w:numId w:val="1010"/>
        </w:numPr>
      </w:pPr>
      <w:r>
        <w:t xml:space="preserve">VAS remains strong, while elevated incentives and marketing expense limit upside to margins.</w:t>
      </w:r>
    </w:p>
    <w:p>
      <w:pPr>
        <w:pStyle w:val="Compact"/>
        <w:numPr>
          <w:ilvl w:val="0"/>
          <w:numId w:val="1010"/>
        </w:numPr>
      </w:pPr>
      <w:r>
        <w:t xml:space="preserve">Full-year guidance is maintained.</w:t>
      </w:r>
    </w:p>
    <w:bookmarkEnd w:id="20"/>
    <w:bookmarkStart w:id="2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Cross-border travel and international consumer spending weaken more materially.</w:t>
      </w:r>
    </w:p>
    <w:p>
      <w:pPr>
        <w:pStyle w:val="Compact"/>
        <w:numPr>
          <w:ilvl w:val="0"/>
          <w:numId w:val="1011"/>
        </w:numPr>
      </w:pPr>
      <w:r>
        <w:t xml:space="preserve">Client incentives accelerate beyond expectations, offsetting pricing and volume growth.</w:t>
      </w:r>
    </w:p>
    <w:p>
      <w:pPr>
        <w:pStyle w:val="Compact"/>
        <w:numPr>
          <w:ilvl w:val="0"/>
          <w:numId w:val="1011"/>
        </w:numPr>
      </w:pPr>
      <w:r>
        <w:t xml:space="preserve">FIFA marketing raises expenses without proportional revenue or volume benefits.</w:t>
      </w:r>
    </w:p>
    <w:p>
      <w:pPr>
        <w:pStyle w:val="Compact"/>
        <w:numPr>
          <w:ilvl w:val="0"/>
          <w:numId w:val="1011"/>
        </w:numPr>
      </w:pPr>
      <w:r>
        <w:t xml:space="preserve">VAS growth cools sharply after a particularly strong fiscal 2Q.</w:t>
      </w:r>
    </w:p>
    <w:p>
      <w:pPr>
        <w:pStyle w:val="Compact"/>
        <w:numPr>
          <w:ilvl w:val="0"/>
          <w:numId w:val="1011"/>
        </w:numPr>
      </w:pPr>
      <w:r>
        <w:t xml:space="preserve">Management reduces the implied fiscal 4Q growth step-up or becomes more cautious on consumer and travel trends.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what-matters-most-on-the-call"/>
    <w:p>
      <w:pPr>
        <w:pStyle w:val="Heading2"/>
      </w:pPr>
      <w:r>
        <w:t xml:space="preserve">What matters most on the call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June-quarter and July-to-date payment-volume trends</w:t>
      </w:r>
      <w:r>
        <w:t xml:space="preserve">, especially U.S. credit, debit, and discretionary spending.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Cross-border growth composition:</w:t>
      </w:r>
      <w:r>
        <w:t xml:space="preserve"> </w:t>
      </w:r>
      <w:r>
        <w:t xml:space="preserve">e-commerce versus travel, U.S. inbound trends, and any ongoing Middle East impact.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Client incentives:</w:t>
      </w:r>
      <w:r>
        <w:t xml:space="preserve"> </w:t>
      </w:r>
      <w:r>
        <w:t xml:space="preserve">actual 3Q growth and 4Q expectations.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VAS durability:</w:t>
      </w:r>
      <w:r>
        <w:t xml:space="preserve"> </w:t>
      </w:r>
      <w:r>
        <w:t xml:space="preserve">growth excluding FIFA marketing, one-time deal timing, and performance adjustments.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FIFA economics:</w:t>
      </w:r>
      <w:r>
        <w:t xml:space="preserve"> </w:t>
      </w:r>
      <w:r>
        <w:t xml:space="preserve">direct revenue, expense, client engagement, card issuance, and payment-volume lift.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Fiscal 4Q outlook:</w:t>
      </w:r>
      <w:r>
        <w:t xml:space="preserve"> </w:t>
      </w:r>
      <w:r>
        <w:t xml:space="preserve">whether Visa still expects the implied roughly one-point sequential acceleration in revenue growth.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Longer-term monetization:</w:t>
      </w:r>
      <w:r>
        <w:t xml:space="preserve"> </w:t>
      </w:r>
      <w:r>
        <w:t xml:space="preserve">traction in Pismo, Visa Direct, commercial payments, stablecoin-linked cards, and AI/agentic-commerce products.</w:t>
      </w:r>
    </w:p>
    <w:p>
      <w:r>
        <w:pict>
          <v:rect style="width:0;height:1.5pt" o:hralign="center" o:hrstd="t" o:hr="t"/>
        </w:pic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Visa’s fiscal 3Q report is unlikely to be a binary test of underlying demand: the company has already framed it as a seasonally and mechanically tougher growth quarter. Instead, the earnings event should determine whether fiscal 2Q’s exceptional performance represented a temporary confluence of favorable volatility, VAS upside, and incentive timing—or evidence that Visa’s growth algorithm has structurally improved.</w:t>
      </w:r>
    </w:p>
    <w:p>
      <w:pPr>
        <w:pStyle w:val="BodyText"/>
      </w:pPr>
      <w:r>
        <w:t xml:space="preserve">A result merely in line with guidance may be insufficient given the strong prior quarter and elevated expectations. The more important positive signal would be</w:t>
      </w:r>
      <w:r>
        <w:t xml:space="preserve"> </w:t>
      </w:r>
      <w:r>
        <w:rPr>
          <w:b/>
          <w:bCs/>
        </w:rPr>
        <w:t xml:space="preserve">stable payments and cross-border trends, sustained 20%-plus VAS momentum, controlled incentives, and confidence in a stronger fiscal 4Q.</w:t>
      </w:r>
    </w:p>
    <w:p>
      <w:pPr>
        <w:pStyle w:val="BodyText"/>
      </w:pPr>
      <w:r>
        <w:rPr>
          <w:i/>
          <w:iCs/>
        </w:rPr>
        <w:t xml:space="preserve">Sources reviewed: Visa fiscal 2Q26 earnings release and earnings-call transcript (April 28, 2026); Visa fiscal 3Q25 earnings release (July 29, 2025); Visa fiscal 2Q26 Form 10-Q; recent market and macro news through July 27, 2026.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2026-07-28T01:23:10Z</dcterms:created>
  <dcterms:modified xsi:type="dcterms:W3CDTF">2026-07-28T01:23:10Z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