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Visa Inc. (V) —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Visa Inc.</w:t>
            </w:r>
          </w:p>
        </w:tc>
        <w:tc>
          <w:tcPr>
            <w:tcW w:type="dxa" w:w="2160"/>
          </w:tcPr>
          <w:p>
            <w:r>
              <w:rPr>
                <w:rFonts w:ascii="Calibri" w:hAnsi="Calibri"/>
                <w:b/>
                <w:sz w:val="22"/>
              </w:rPr>
              <w:t>Ticker</w:t>
            </w:r>
          </w:p>
        </w:tc>
        <w:tc>
          <w:tcPr>
            <w:tcW w:type="dxa" w:w="2160"/>
          </w:tcPr>
          <w:p>
            <w:r>
              <w:rPr>
                <w:rFonts w:ascii="Calibri" w:hAnsi="Calibri"/>
                <w:sz w:val="22"/>
              </w:rPr>
              <w:t>NYSE: V</w:t>
            </w:r>
          </w:p>
        </w:tc>
      </w:tr>
      <w:tr>
        <w:tc>
          <w:tcPr>
            <w:tcW w:type="dxa" w:w="2160"/>
          </w:tcPr>
          <w:p>
            <w:r>
              <w:rPr>
                <w:rFonts w:ascii="Calibri" w:hAnsi="Calibri"/>
                <w:b/>
                <w:sz w:val="22"/>
              </w:rPr>
              <w:t>Earnings Date</w:t>
            </w:r>
          </w:p>
        </w:tc>
        <w:tc>
          <w:tcPr>
            <w:tcW w:type="dxa" w:w="2160"/>
          </w:tcPr>
          <w:p>
            <w:r>
              <w:rPr>
                <w:rFonts w:ascii="Calibri" w:hAnsi="Calibri"/>
                <w:sz w:val="22"/>
              </w:rPr>
              <w:t>July 28, 2026 (After Market Close)</w:t>
            </w:r>
          </w:p>
        </w:tc>
        <w:tc>
          <w:tcPr>
            <w:tcW w:type="dxa" w:w="2160"/>
          </w:tcPr>
          <w:p>
            <w:r>
              <w:rPr>
                <w:rFonts w:ascii="Calibri" w:hAnsi="Calibri"/>
                <w:b/>
                <w:sz w:val="22"/>
              </w:rPr>
              <w:t>Fiscal Period</w:t>
            </w:r>
          </w:p>
        </w:tc>
        <w:tc>
          <w:tcPr>
            <w:tcW w:type="dxa" w:w="2160"/>
          </w:tcPr>
          <w:p>
            <w:r>
              <w:rPr>
                <w:rFonts w:ascii="Calibri" w:hAnsi="Calibri"/>
                <w:sz w:val="22"/>
              </w:rPr>
              <w:t>Q3 FY2026 (Quarter Ending June 30, 2026)</w:t>
            </w:r>
          </w:p>
        </w:tc>
      </w:tr>
      <w:tr>
        <w:tc>
          <w:tcPr>
            <w:tcW w:type="dxa" w:w="2160"/>
          </w:tcPr>
          <w:p>
            <w:r>
              <w:rPr>
                <w:rFonts w:ascii="Calibri" w:hAnsi="Calibri"/>
                <w:b/>
                <w:sz w:val="22"/>
              </w:rPr>
              <w:t>Prepared</w:t>
            </w:r>
          </w:p>
        </w:tc>
        <w:tc>
          <w:tcPr>
            <w:tcW w:type="dxa" w:w="2160"/>
          </w:tcPr>
          <w:p>
            <w:r>
              <w:rPr>
                <w:rFonts w:ascii="Calibri" w:hAnsi="Calibri"/>
                <w:sz w:val="22"/>
              </w:rPr>
              <w:t>July 28, 2026</w:t>
            </w:r>
          </w:p>
        </w:tc>
        <w:tc>
          <w:tcPr>
            <w:tcW w:type="dxa" w:w="2160"/>
          </w:tcPr>
          <w:p>
            <w:r>
              <w:rPr>
                <w:rFonts w:ascii="Calibri" w:hAnsi="Calibri"/>
                <w:b/>
                <w:sz w:val="22"/>
              </w:rPr>
              <w:t>Last Earnings</w:t>
            </w:r>
          </w:p>
        </w:tc>
        <w:tc>
          <w:tcPr>
            <w:tcW w:type="dxa" w:w="2160"/>
          </w:tcPr>
          <w:p>
            <w:r>
              <w:rPr>
                <w:rFonts w:ascii="Calibri" w:hAnsi="Calibri"/>
                <w:sz w:val="22"/>
              </w:rPr>
              <w:t>April 28, 2026 (Q2 FY2026)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leans toward a beat on revenue with the bar manageable, but </w:t>
      </w:r>
      <w:r>
        <w:rPr>
          <w:rFonts w:ascii="Calibri" w:hAnsi="Calibri"/>
          <w:b/>
          <w:color w:val="525866"/>
          <w:sz w:val="22"/>
        </w:rPr>
        <w:t>EPS growth is guided to only mid-to-high single digits</w:t>
      </w:r>
      <w:r>
        <w:rPr>
          <w:rFonts w:ascii="Calibri" w:hAnsi="Calibri"/>
          <w:color w:val="525866"/>
          <w:sz w:val="22"/>
        </w:rPr>
        <w:t xml:space="preserve"> — the lowest of the year — making the swing factor less about the top line and more about whether </w:t>
      </w:r>
      <w:r>
        <w:rPr>
          <w:rFonts w:ascii="Calibri" w:hAnsi="Calibri"/>
          <w:b/>
          <w:color w:val="525866"/>
          <w:sz w:val="22"/>
        </w:rPr>
        <w:t>client incentives and FX volatility</w:t>
      </w:r>
      <w:r>
        <w:rPr>
          <w:rFonts w:ascii="Calibri" w:hAnsi="Calibri"/>
          <w:color w:val="525866"/>
          <w:sz w:val="22"/>
        </w:rPr>
        <w:t xml:space="preserve"> surprise favorably again as they did in Q2.</w:t>
      </w:r>
    </w:p>
    <w:p>
      <w:r>
        <w:rPr>
          <w:rFonts w:ascii="Calibri" w:hAnsi="Calibri"/>
          <w:color w:val="525866"/>
          <w:sz w:val="22"/>
        </w:rPr>
        <w:t xml:space="preserve">Heading into Q3 FY2026, Visa's setup is constructive but nuanced. Management guided for </w:t>
      </w:r>
      <w:r>
        <w:rPr>
          <w:rFonts w:ascii="Calibri" w:hAnsi="Calibri"/>
          <w:b/>
          <w:color w:val="525866"/>
          <w:sz w:val="22"/>
        </w:rPr>
        <w:t>low double-digit net revenue growth</w:t>
      </w:r>
      <w:r>
        <w:rPr>
          <w:rFonts w:ascii="Calibri" w:hAnsi="Calibri"/>
          <w:color w:val="525866"/>
          <w:sz w:val="22"/>
        </w:rPr>
        <w:t xml:space="preserve"> — explicitly flagging this as the trough quarter of the year — with consensus sitting at ~$11.4B, a bar that appears achievable given the FIFA World Cup tailwind to VAS marketing services and continued cross-border resilience. The tone since the April 28 print has been consistently upbeat: at the JP Morgan TMT Conference (May 19), CEO McInerney described Q2 as </w:t>
      </w:r>
      <w:r>
        <w:rPr>
          <w:rFonts w:ascii="Calibri" w:hAnsi="Calibri"/>
          <w:i/>
          <w:color w:val="525866"/>
          <w:sz w:val="22"/>
        </w:rPr>
        <w:t>"the best quarter of growth in over a decade"</w:t>
      </w:r>
      <w:r>
        <w:rPr>
          <w:rFonts w:ascii="Calibri" w:hAnsi="Calibri"/>
          <w:color w:val="525866"/>
          <w:sz w:val="22"/>
        </w:rPr>
        <w:t xml:space="preserve"> and confirmed all volume metrics had improved through mid-May; at Bernstein (May 28), he extended that positive read-through through the conference date. Estimate revisions have been modestly positive since the Q2 beat, with the 3Q FY2026 revenue consensus ticking up from ~$11.37B to ~$11.39B and EPS from ~$3.22 to ~$3.23, tracking in line with guidance rather than diverging. The stock has outperformed meaningfully — up ~17% since the Q2 print versus Mastercard +9% and AXP +6% — suggesting the market has already priced in a solid quarter, which raises the bar for a positive reaction. The key wildcard is </w:t>
      </w:r>
      <w:r>
        <w:rPr>
          <w:rFonts w:ascii="Calibri" w:hAnsi="Calibri"/>
          <w:b/>
          <w:color w:val="525866"/>
          <w:sz w:val="22"/>
        </w:rPr>
        <w:t>FX volatility</w:t>
      </w:r>
      <w:r>
        <w:rPr>
          <w:rFonts w:ascii="Calibri" w:hAnsi="Calibri"/>
          <w:color w:val="525866"/>
          <w:sz w:val="22"/>
        </w:rPr>
        <w:t>: management noted volatility was "higher than expected" in Q2 and into early Q3, and if that persists through quarter-end it could drive another upside surprise on international transaction revenue, just as it did last quarter.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bar</w:t>
      </w:r>
      <w:r>
        <w:rPr>
          <w:rFonts w:ascii="Calibri" w:hAnsi="Calibri"/>
          <w:color w:val="525866"/>
          <w:sz w:val="22"/>
        </w:rPr>
        <w:t xml:space="preserve"> on revenue (low double-digit growth guided, consensus ~$11.4B) but EPS growth is guided to only mid-to-high single digits — the trough of the year — due to higher incentives, lower volatility comps, and FIFA-related opex. </w:t>
      </w:r>
      <w:r>
        <w:rPr>
          <w:rFonts w:ascii="Calibri" w:hAnsi="Calibri"/>
          <w:b/>
          <w:color w:val="525866"/>
          <w:sz w:val="22"/>
        </w:rPr>
        <w:t>Cross-border volume ex-intra-Europe</w:t>
      </w:r>
      <w:r>
        <w:rPr>
          <w:rFonts w:ascii="Calibri" w:hAnsi="Calibri"/>
          <w:color w:val="525866"/>
          <w:sz w:val="22"/>
        </w:rPr>
        <w:t xml:space="preserve"> is the bigger swing factor given FX volatility sensitivity.</w:t>
      </w:r>
    </w:p>
    <w:p>
      <w:pPr>
        <w:pStyle w:val="Heading3"/>
      </w:pPr>
      <w:r>
        <w:rPr>
          <w:rFonts w:ascii="Calibri" w:hAnsi="Calibri"/>
          <w:b/>
          <w:color w:val="3B4259"/>
          <w:sz w:val="24"/>
        </w:rPr>
        <w:t>Table 1 — Current Quarter Snapshot (Q3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 (Last Qtr)</w:t>
            </w:r>
          </w:p>
        </w:tc>
        <w:tc>
          <w:tcPr>
            <w:tcW w:type="dxa" w:w="1234"/>
            <w:shd w:val="clear" w:color="auto" w:fill="3B4259"/>
          </w:tcPr>
          <w:p>
            <w:r>
              <w:rPr>
                <w:rFonts w:ascii="Calibri" w:hAnsi="Calibri"/>
                <w:b/>
                <w:color w:val="FFFFFF"/>
                <w:sz w:val="22"/>
              </w:rPr>
              <w:t>Q3 FY2025 Actual (Prior Year)</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(Q3 FY2026)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Net Revenue</w:t>
            </w:r>
          </w:p>
        </w:tc>
        <w:tc>
          <w:tcPr>
            <w:tcW w:type="dxa" w:w="1234"/>
          </w:tcPr>
          <w:p>
            <w:r>
              <w:rPr>
                <w:rFonts w:ascii="Calibri" w:hAnsi="Calibri"/>
                <w:sz w:val="22"/>
              </w:rPr>
              <w:t>$11.23B</w:t>
            </w:r>
          </w:p>
        </w:tc>
        <w:tc>
          <w:tcPr>
            <w:tcW w:type="dxa" w:w="1234"/>
          </w:tcPr>
          <w:p>
            <w:r>
              <w:rPr>
                <w:rFonts w:ascii="Calibri" w:hAnsi="Calibri"/>
                <w:sz w:val="22"/>
              </w:rPr>
              <w:t>$10.17B</w:t>
            </w:r>
          </w:p>
        </w:tc>
        <w:tc>
          <w:tcPr>
            <w:tcW w:type="dxa" w:w="1234"/>
          </w:tcPr>
          <w:p>
            <w:r>
              <w:rPr>
                <w:rFonts w:ascii="Calibri" w:hAnsi="Calibri"/>
                <w:sz w:val="22"/>
              </w:rPr>
              <w:t>$11.39B</w:t>
            </w:r>
          </w:p>
        </w:tc>
        <w:tc>
          <w:tcPr>
            <w:tcW w:type="dxa" w:w="1234"/>
          </w:tcPr>
          <w:p>
            <w:r>
              <w:rPr>
                <w:rFonts w:ascii="Calibri" w:hAnsi="Calibri"/>
                <w:sz w:val="22"/>
              </w:rPr>
              <w:t>+12.0% YoY</w:t>
            </w:r>
          </w:p>
        </w:tc>
        <w:tc>
          <w:tcPr>
            <w:tcW w:type="dxa" w:w="1234"/>
          </w:tcPr>
          <w:p>
            <w:r>
              <w:rPr>
                <w:rFonts w:ascii="Calibri" w:hAnsi="Calibri"/>
                <w:sz w:val="22"/>
              </w:rPr>
              <w:t>Low double-digit growth (adj. CC)</w:t>
            </w:r>
          </w:p>
        </w:tc>
        <w:tc>
          <w:tcPr>
            <w:tcW w:type="dxa" w:w="1234"/>
          </w:tcPr>
          <w:p>
            <w:r>
              <w:rPr>
                <w:rFonts w:ascii="Calibri" w:hAnsi="Calibri"/>
                <w:sz w:val="22"/>
              </w:rPr>
              <w:t>In line / slight premium</w:t>
            </w:r>
          </w:p>
        </w:tc>
      </w:tr>
      <w:tr>
        <w:tc>
          <w:tcPr>
            <w:tcW w:type="dxa" w:w="1234"/>
          </w:tcPr>
          <w:p>
            <w:r>
              <w:rPr>
                <w:rFonts w:ascii="Calibri" w:hAnsi="Calibri"/>
                <w:sz w:val="22"/>
              </w:rPr>
              <w:t>Adj. Operating EPS</w:t>
            </w:r>
          </w:p>
        </w:tc>
        <w:tc>
          <w:tcPr>
            <w:tcW w:type="dxa" w:w="1234"/>
          </w:tcPr>
          <w:p>
            <w:r>
              <w:rPr>
                <w:rFonts w:ascii="Calibri" w:hAnsi="Calibri"/>
                <w:sz w:val="22"/>
              </w:rPr>
              <w:t>$3.31</w:t>
            </w:r>
          </w:p>
        </w:tc>
        <w:tc>
          <w:tcPr>
            <w:tcW w:type="dxa" w:w="1234"/>
          </w:tcPr>
          <w:p>
            <w:r>
              <w:rPr>
                <w:rFonts w:ascii="Calibri" w:hAnsi="Calibri"/>
                <w:sz w:val="22"/>
              </w:rPr>
              <w:t>$2.98</w:t>
            </w:r>
          </w:p>
        </w:tc>
        <w:tc>
          <w:tcPr>
            <w:tcW w:type="dxa" w:w="1234"/>
          </w:tcPr>
          <w:p>
            <w:r>
              <w:rPr>
                <w:rFonts w:ascii="Calibri" w:hAnsi="Calibri"/>
                <w:sz w:val="22"/>
              </w:rPr>
              <w:t>$3.23</w:t>
            </w:r>
          </w:p>
        </w:tc>
        <w:tc>
          <w:tcPr>
            <w:tcW w:type="dxa" w:w="1234"/>
          </w:tcPr>
          <w:p>
            <w:r>
              <w:rPr>
                <w:rFonts w:ascii="Calibri" w:hAnsi="Calibri"/>
                <w:sz w:val="22"/>
              </w:rPr>
              <w:t>+8.4% YoY</w:t>
            </w:r>
          </w:p>
        </w:tc>
        <w:tc>
          <w:tcPr>
            <w:tcW w:type="dxa" w:w="1234"/>
          </w:tcPr>
          <w:p>
            <w:r>
              <w:rPr>
                <w:rFonts w:ascii="Calibri" w:hAnsi="Calibri"/>
                <w:sz w:val="22"/>
              </w:rPr>
              <w:t>Mid-to-high single digit growth</w:t>
            </w:r>
          </w:p>
        </w:tc>
        <w:tc>
          <w:tcPr>
            <w:tcW w:type="dxa" w:w="1234"/>
          </w:tcPr>
          <w:p>
            <w:r>
              <w:rPr>
                <w:rFonts w:ascii="Calibri" w:hAnsi="Calibri"/>
                <w:sz w:val="22"/>
              </w:rPr>
              <w:t>~+1% above guidance midpoint</w:t>
            </w:r>
          </w:p>
        </w:tc>
      </w:tr>
      <w:tr>
        <w:tc>
          <w:tcPr>
            <w:tcW w:type="dxa" w:w="1234"/>
          </w:tcPr>
          <w:p>
            <w:r>
              <w:rPr>
                <w:rFonts w:ascii="Calibri" w:hAnsi="Calibri"/>
                <w:sz w:val="22"/>
              </w:rPr>
              <w:t>Service Revenues</w:t>
            </w:r>
          </w:p>
        </w:tc>
        <w:tc>
          <w:tcPr>
            <w:tcW w:type="dxa" w:w="1234"/>
          </w:tcPr>
          <w:p>
            <w:r>
              <w:rPr>
                <w:rFonts w:ascii="Calibri" w:hAnsi="Calibri"/>
                <w:sz w:val="22"/>
              </w:rPr>
              <w:t>$4.981B</w:t>
            </w:r>
          </w:p>
        </w:tc>
        <w:tc>
          <w:tcPr>
            <w:tcW w:type="dxa" w:w="1234"/>
          </w:tcPr>
          <w:p>
            <w:r>
              <w:rPr>
                <w:rFonts w:ascii="Calibri" w:hAnsi="Calibri"/>
                <w:sz w:val="22"/>
              </w:rPr>
              <w:t>$4.330B</w:t>
            </w:r>
          </w:p>
        </w:tc>
        <w:tc>
          <w:tcPr>
            <w:tcW w:type="dxa" w:w="1234"/>
          </w:tcPr>
          <w:p>
            <w:r>
              <w:rPr>
                <w:rFonts w:ascii="Calibri" w:hAnsi="Calibri"/>
                <w:sz w:val="22"/>
              </w:rPr>
              <w:t>$4.861B</w:t>
            </w:r>
          </w:p>
        </w:tc>
        <w:tc>
          <w:tcPr>
            <w:tcW w:type="dxa" w:w="1234"/>
          </w:tcPr>
          <w:p>
            <w:r>
              <w:rPr>
                <w:rFonts w:ascii="Calibri" w:hAnsi="Calibri"/>
                <w:sz w:val="22"/>
              </w:rPr>
              <w:t>+12.3% YoY</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International Transaction Revenues</w:t>
            </w:r>
          </w:p>
        </w:tc>
        <w:tc>
          <w:tcPr>
            <w:tcW w:type="dxa" w:w="1234"/>
          </w:tcPr>
          <w:p>
            <w:r>
              <w:rPr>
                <w:rFonts w:ascii="Calibri" w:hAnsi="Calibri"/>
                <w:sz w:val="22"/>
              </w:rPr>
              <w:t>$3.631B</w:t>
            </w:r>
          </w:p>
        </w:tc>
        <w:tc>
          <w:tcPr>
            <w:tcW w:type="dxa" w:w="1234"/>
          </w:tcPr>
          <w:p>
            <w:r>
              <w:rPr>
                <w:rFonts w:ascii="Calibri" w:hAnsi="Calibri"/>
                <w:sz w:val="22"/>
              </w:rPr>
              <w:t>$3.633B</w:t>
            </w:r>
          </w:p>
        </w:tc>
        <w:tc>
          <w:tcPr>
            <w:tcW w:type="dxa" w:w="1234"/>
          </w:tcPr>
          <w:p>
            <w:r>
              <w:rPr>
                <w:rFonts w:ascii="Calibri" w:hAnsi="Calibri"/>
                <w:sz w:val="22"/>
              </w:rPr>
              <w:t>$3.926B</w:t>
            </w:r>
          </w:p>
        </w:tc>
        <w:tc>
          <w:tcPr>
            <w:tcW w:type="dxa" w:w="1234"/>
          </w:tcPr>
          <w:p>
            <w:r>
              <w:rPr>
                <w:rFonts w:ascii="Calibri" w:hAnsi="Calibri"/>
                <w:sz w:val="22"/>
              </w:rPr>
              <w:t>+8.1% YoY</w:t>
            </w:r>
          </w:p>
        </w:tc>
        <w:tc>
          <w:tcPr>
            <w:tcW w:type="dxa" w:w="1234"/>
          </w:tcPr>
          <w:p>
            <w:r>
              <w:rPr>
                <w:rFonts w:ascii="Calibri" w:hAnsi="Calibri"/>
                <w:sz w:val="22"/>
              </w:rPr>
              <w:t>N/A (FX volatility key driver)</w:t>
            </w:r>
          </w:p>
        </w:tc>
        <w:tc>
          <w:tcPr>
            <w:tcW w:type="dxa" w:w="1234"/>
          </w:tcPr>
          <w:p>
            <w:r>
              <w:rPr>
                <w:rFonts w:ascii="Calibri" w:hAnsi="Calibri"/>
                <w:sz w:val="22"/>
              </w:rPr>
              <w:t>N/A</w:t>
            </w:r>
          </w:p>
        </w:tc>
      </w:tr>
      <w:tr>
        <w:tc>
          <w:tcPr>
            <w:tcW w:type="dxa" w:w="1234"/>
          </w:tcPr>
          <w:p>
            <w:r>
              <w:rPr>
                <w:rFonts w:ascii="Calibri" w:hAnsi="Calibri"/>
                <w:sz w:val="22"/>
              </w:rPr>
              <w:t>Data Processing Revenues</w:t>
            </w:r>
          </w:p>
        </w:tc>
        <w:tc>
          <w:tcPr>
            <w:tcW w:type="dxa" w:w="1234"/>
          </w:tcPr>
          <w:p>
            <w:r>
              <w:rPr>
                <w:rFonts w:ascii="Calibri" w:hAnsi="Calibri"/>
                <w:sz w:val="22"/>
              </w:rPr>
              <w:t>$5.543B</w:t>
            </w:r>
          </w:p>
        </w:tc>
        <w:tc>
          <w:tcPr>
            <w:tcW w:type="dxa" w:w="1234"/>
          </w:tcPr>
          <w:p>
            <w:r>
              <w:rPr>
                <w:rFonts w:ascii="Calibri" w:hAnsi="Calibri"/>
                <w:sz w:val="22"/>
              </w:rPr>
              <w:t>$5.153B</w:t>
            </w:r>
          </w:p>
        </w:tc>
        <w:tc>
          <w:tcPr>
            <w:tcW w:type="dxa" w:w="1234"/>
          </w:tcPr>
          <w:p>
            <w:r>
              <w:rPr>
                <w:rFonts w:ascii="Calibri" w:hAnsi="Calibri"/>
                <w:sz w:val="22"/>
              </w:rPr>
              <w:t>$5.848B</w:t>
            </w:r>
          </w:p>
        </w:tc>
        <w:tc>
          <w:tcPr>
            <w:tcW w:type="dxa" w:w="1234"/>
          </w:tcPr>
          <w:p>
            <w:r>
              <w:rPr>
                <w:rFonts w:ascii="Calibri" w:hAnsi="Calibri"/>
                <w:sz w:val="22"/>
              </w:rPr>
              <w:t>+13.5%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Client Incentives</w:t>
            </w:r>
          </w:p>
        </w:tc>
        <w:tc>
          <w:tcPr>
            <w:tcW w:type="dxa" w:w="1234"/>
          </w:tcPr>
          <w:p>
            <w:r>
              <w:rPr>
                <w:rFonts w:ascii="Calibri" w:hAnsi="Calibri"/>
                <w:sz w:val="22"/>
              </w:rPr>
              <w:t>($4.245B)</w:t>
            </w:r>
          </w:p>
        </w:tc>
        <w:tc>
          <w:tcPr>
            <w:tcW w:type="dxa" w:w="1234"/>
          </w:tcPr>
          <w:p>
            <w:r>
              <w:rPr>
                <w:rFonts w:ascii="Calibri" w:hAnsi="Calibri"/>
                <w:sz w:val="22"/>
              </w:rPr>
              <w:t>($3.972B)</w:t>
            </w:r>
          </w:p>
        </w:tc>
        <w:tc>
          <w:tcPr>
            <w:tcW w:type="dxa" w:w="1234"/>
          </w:tcPr>
          <w:p>
            <w:r>
              <w:rPr>
                <w:rFonts w:ascii="Calibri" w:hAnsi="Calibri"/>
                <w:sz w:val="22"/>
              </w:rPr>
              <w:t>($4.619B)</w:t>
            </w:r>
          </w:p>
        </w:tc>
        <w:tc>
          <w:tcPr>
            <w:tcW w:type="dxa" w:w="1234"/>
          </w:tcPr>
          <w:p>
            <w:r>
              <w:rPr>
                <w:rFonts w:ascii="Calibri" w:hAnsi="Calibri"/>
                <w:sz w:val="22"/>
              </w:rPr>
              <w:t>+16.3% YoY (headwind)</w:t>
            </w:r>
          </w:p>
        </w:tc>
        <w:tc>
          <w:tcPr>
            <w:tcW w:type="dxa" w:w="1234"/>
          </w:tcPr>
          <w:p>
            <w:r>
              <w:rPr>
                <w:rFonts w:ascii="Calibri" w:hAnsi="Calibri"/>
                <w:sz w:val="22"/>
              </w:rPr>
              <w:t>Step-up from Q2 (deal timing + lapping Q3 FY25 low)</w:t>
            </w:r>
          </w:p>
        </w:tc>
        <w:tc>
          <w:tcPr>
            <w:tcW w:type="dxa" w:w="1234"/>
          </w:tcPr>
          <w:p>
            <w:r>
              <w:rPr>
                <w:rFonts w:ascii="Calibri" w:hAnsi="Calibri"/>
                <w:sz w:val="22"/>
              </w:rPr>
              <w:t>In line with guidance</w:t>
            </w:r>
          </w:p>
        </w:tc>
      </w:tr>
      <w:tr>
        <w:tc>
          <w:tcPr>
            <w:tcW w:type="dxa" w:w="1234"/>
          </w:tcPr>
          <w:p>
            <w:r>
              <w:rPr>
                <w:rFonts w:ascii="Calibri" w:hAnsi="Calibri"/>
                <w:sz w:val="22"/>
              </w:rPr>
              <w:t>Processed Transactions</w:t>
            </w:r>
          </w:p>
        </w:tc>
        <w:tc>
          <w:tcPr>
            <w:tcW w:type="dxa" w:w="1234"/>
          </w:tcPr>
          <w:p>
            <w:r>
              <w:rPr>
                <w:rFonts w:ascii="Calibri" w:hAnsi="Calibri"/>
                <w:sz w:val="22"/>
              </w:rPr>
              <w:t>66.1B</w:t>
            </w:r>
          </w:p>
        </w:tc>
        <w:tc>
          <w:tcPr>
            <w:tcW w:type="dxa" w:w="1234"/>
          </w:tcPr>
          <w:p>
            <w:r>
              <w:rPr>
                <w:rFonts w:ascii="Calibri" w:hAnsi="Calibri"/>
                <w:sz w:val="22"/>
              </w:rPr>
              <w:t>65.4B</w:t>
            </w:r>
          </w:p>
        </w:tc>
        <w:tc>
          <w:tcPr>
            <w:tcW w:type="dxa" w:w="1234"/>
          </w:tcPr>
          <w:p>
            <w:r>
              <w:rPr>
                <w:rFonts w:ascii="Calibri" w:hAnsi="Calibri"/>
                <w:sz w:val="22"/>
              </w:rPr>
              <w:t>71.1B</w:t>
            </w:r>
          </w:p>
        </w:tc>
        <w:tc>
          <w:tcPr>
            <w:tcW w:type="dxa" w:w="1234"/>
          </w:tcPr>
          <w:p>
            <w:r>
              <w:rPr>
                <w:rFonts w:ascii="Calibri" w:hAnsi="Calibri"/>
                <w:sz w:val="22"/>
              </w:rPr>
              <w:t>+8.7%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Cross-Border Volume Growth (ex-Intra-Europe, CC)</w:t>
            </w:r>
          </w:p>
        </w:tc>
        <w:tc>
          <w:tcPr>
            <w:tcW w:type="dxa" w:w="1234"/>
          </w:tcPr>
          <w:p>
            <w:r>
              <w:rPr>
                <w:rFonts w:ascii="Calibri" w:hAnsi="Calibri"/>
                <w:sz w:val="22"/>
              </w:rPr>
              <w:t>+11% YoY</w:t>
            </w:r>
          </w:p>
        </w:tc>
        <w:tc>
          <w:tcPr>
            <w:tcW w:type="dxa" w:w="1234"/>
          </w:tcPr>
          <w:p>
            <w:r>
              <w:rPr>
                <w:rFonts w:ascii="Calibri" w:hAnsi="Calibri"/>
                <w:sz w:val="22"/>
              </w:rPr>
              <w:t>+11% YoY</w:t>
            </w:r>
          </w:p>
        </w:tc>
        <w:tc>
          <w:tcPr>
            <w:tcW w:type="dxa" w:w="1234"/>
          </w:tcPr>
          <w:p>
            <w:r>
              <w:rPr>
                <w:rFonts w:ascii="Calibri" w:hAnsi="Calibri"/>
                <w:sz w:val="22"/>
              </w:rPr>
              <w:t>+10.8% YoY</w:t>
            </w:r>
          </w:p>
        </w:tc>
        <w:tc>
          <w:tcPr>
            <w:tcW w:type="dxa" w:w="1234"/>
          </w:tcPr>
          <w:p>
            <w:r>
              <w:rPr>
                <w:rFonts w:ascii="Calibri" w:hAnsi="Calibri"/>
                <w:sz w:val="22"/>
              </w:rPr>
              <w:t>~flat YoY</w:t>
            </w:r>
          </w:p>
        </w:tc>
        <w:tc>
          <w:tcPr>
            <w:tcW w:type="dxa" w:w="1234"/>
          </w:tcPr>
          <w:p>
            <w:r>
              <w:rPr>
                <w:rFonts w:ascii="Calibri" w:hAnsi="Calibri"/>
                <w:sz w:val="22"/>
              </w:rPr>
              <w:t>Resilient; FIFA inbound tailwind; CEMEA headwind</w:t>
            </w:r>
          </w:p>
        </w:tc>
        <w:tc>
          <w:tcPr>
            <w:tcW w:type="dxa" w:w="1234"/>
          </w:tcPr>
          <w:p>
            <w:r>
              <w:rPr>
                <w:rFonts w:ascii="Calibri" w:hAnsi="Calibri"/>
                <w:sz w:val="22"/>
              </w:rPr>
              <w:t>Slightly below prior trend</w:t>
            </w:r>
          </w:p>
        </w:tc>
      </w:tr>
      <w:tr>
        <w:tc>
          <w:tcPr>
            <w:tcW w:type="dxa" w:w="1234"/>
          </w:tcPr>
          <w:p>
            <w:r>
              <w:rPr>
                <w:rFonts w:ascii="Calibri" w:hAnsi="Calibri"/>
                <w:sz w:val="22"/>
              </w:rPr>
              <w:t>Payments Volume Growth (Visa Inc., CC)</w:t>
            </w:r>
          </w:p>
        </w:tc>
        <w:tc>
          <w:tcPr>
            <w:tcW w:type="dxa" w:w="1234"/>
          </w:tcPr>
          <w:p>
            <w:r>
              <w:rPr>
                <w:rFonts w:ascii="Calibri" w:hAnsi="Calibri"/>
                <w:sz w:val="22"/>
              </w:rPr>
              <w:t>+8.9% YoY</w:t>
            </w:r>
          </w:p>
        </w:tc>
        <w:tc>
          <w:tcPr>
            <w:tcW w:type="dxa" w:w="1234"/>
          </w:tcPr>
          <w:p>
            <w:r>
              <w:rPr>
                <w:rFonts w:ascii="Calibri" w:hAnsi="Calibri"/>
                <w:sz w:val="22"/>
              </w:rPr>
              <w:t>+8.2% YoY</w:t>
            </w:r>
          </w:p>
        </w:tc>
        <w:tc>
          <w:tcPr>
            <w:tcW w:type="dxa" w:w="1234"/>
          </w:tcPr>
          <w:p>
            <w:r>
              <w:rPr>
                <w:rFonts w:ascii="Calibri" w:hAnsi="Calibri"/>
                <w:sz w:val="22"/>
              </w:rPr>
              <w:t>+8.9% YoY</w:t>
            </w:r>
          </w:p>
        </w:tc>
        <w:tc>
          <w:tcPr>
            <w:tcW w:type="dxa" w:w="1234"/>
          </w:tcPr>
          <w:p>
            <w:r>
              <w:rPr>
                <w:rFonts w:ascii="Calibri" w:hAnsi="Calibri"/>
                <w:sz w:val="22"/>
              </w:rPr>
              <w:t>+0.7pp YoY</w:t>
            </w:r>
          </w:p>
        </w:tc>
        <w:tc>
          <w:tcPr>
            <w:tcW w:type="dxa" w:w="1234"/>
          </w:tcPr>
          <w:p>
            <w:r>
              <w:rPr>
                <w:rFonts w:ascii="Calibri" w:hAnsi="Calibri"/>
                <w:sz w:val="22"/>
              </w:rPr>
              <w:t>Stable; consumer resilience assumed</w:t>
            </w:r>
          </w:p>
        </w:tc>
        <w:tc>
          <w:tcPr>
            <w:tcW w:type="dxa" w:w="1234"/>
          </w:tcPr>
          <w:p>
            <w:r>
              <w:rPr>
                <w:rFonts w:ascii="Calibri" w:hAnsi="Calibri"/>
                <w:sz w:val="22"/>
              </w:rPr>
              <w:t>In line</w:t>
            </w:r>
          </w:p>
        </w:tc>
      </w:tr>
    </w:tbl>
    <w:p>
      <w:r>
        <w:rPr>
          <w:rFonts w:ascii="Calibri" w:hAnsi="Calibri"/>
          <w:color w:val="525866"/>
          <w:sz w:val="22"/>
        </w:rPr>
        <w:t>Source: Visible Alpha consensus and actuals data. All VA-sourced figures cited accordingly.</w:t>
      </w:r>
    </w:p>
    <w:p>
      <w:pPr>
        <w:pStyle w:val="Heading3"/>
      </w:pPr>
      <w:r>
        <w:rPr>
          <w:rFonts w:ascii="Calibri" w:hAnsi="Calibri"/>
          <w:b/>
          <w:color w:val="3B4259"/>
          <w:sz w:val="24"/>
        </w:rPr>
        <w:t>Table 2 — Beat/Miss History (Last 8 Quarters, Top 2 KPIs)</w:t>
      </w:r>
    </w:p>
    <w:p>
      <w:r>
        <w:rPr>
          <w:rFonts w:ascii="Calibri" w:hAnsi="Calibri"/>
          <w:b/>
          <w:color w:val="525866"/>
          <w:sz w:val="22"/>
        </w:rPr>
        <w:t>KPI 1: Total Net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FY2026</w:t>
            </w:r>
          </w:p>
        </w:tc>
        <w:tc>
          <w:tcPr>
            <w:tcW w:type="dxa" w:w="1728"/>
          </w:tcPr>
          <w:p>
            <w:r>
              <w:rPr>
                <w:rFonts w:ascii="Calibri" w:hAnsi="Calibri"/>
                <w:sz w:val="22"/>
              </w:rPr>
              <w:t>$11.23</w:t>
            </w:r>
          </w:p>
        </w:tc>
        <w:tc>
          <w:tcPr>
            <w:tcW w:type="dxa" w:w="1728"/>
          </w:tcPr>
          <w:p>
            <w:r>
              <w:rPr>
                <w:rFonts w:ascii="Calibri" w:hAnsi="Calibri"/>
                <w:sz w:val="22"/>
              </w:rPr>
              <w:t>$10.75</w:t>
            </w:r>
          </w:p>
        </w:tc>
        <w:tc>
          <w:tcPr>
            <w:tcW w:type="dxa" w:w="1728"/>
          </w:tcPr>
          <w:p>
            <w:r>
              <w:rPr>
                <w:rFonts w:ascii="Calibri" w:hAnsi="Calibri"/>
                <w:b/>
                <w:color w:val="30A46C"/>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$10.90</w:t>
            </w:r>
          </w:p>
        </w:tc>
        <w:tc>
          <w:tcPr>
            <w:tcW w:type="dxa" w:w="1728"/>
          </w:tcPr>
          <w:p>
            <w:r>
              <w:rPr>
                <w:rFonts w:ascii="Calibri" w:hAnsi="Calibri"/>
                <w:sz w:val="22"/>
              </w:rPr>
              <w:t>$10.69</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$10.72</w:t>
            </w:r>
          </w:p>
        </w:tc>
        <w:tc>
          <w:tcPr>
            <w:tcW w:type="dxa" w:w="1728"/>
          </w:tcPr>
          <w:p>
            <w:r>
              <w:rPr>
                <w:rFonts w:ascii="Calibri" w:hAnsi="Calibri"/>
                <w:sz w:val="22"/>
              </w:rPr>
              <w:t>$10.61</w:t>
            </w:r>
          </w:p>
        </w:tc>
        <w:tc>
          <w:tcPr>
            <w:tcW w:type="dxa" w:w="1728"/>
          </w:tcPr>
          <w:p>
            <w:r>
              <w:rPr>
                <w:rFonts w:ascii="Calibri" w:hAnsi="Calibri"/>
                <w:b/>
                <w:color w:val="30A46C"/>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$10.17</w:t>
            </w:r>
          </w:p>
        </w:tc>
        <w:tc>
          <w:tcPr>
            <w:tcW w:type="dxa" w:w="1728"/>
          </w:tcPr>
          <w:p>
            <w:r>
              <w:rPr>
                <w:rFonts w:ascii="Calibri" w:hAnsi="Calibri"/>
                <w:sz w:val="22"/>
              </w:rPr>
              <w:t>$9.84</w:t>
            </w:r>
          </w:p>
        </w:tc>
        <w:tc>
          <w:tcPr>
            <w:tcW w:type="dxa" w:w="1728"/>
          </w:tcPr>
          <w:p>
            <w:r>
              <w:rPr>
                <w:rFonts w:ascii="Calibri" w:hAnsi="Calibri"/>
                <w:b/>
                <w:color w:val="30A46C"/>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$9.594</w:t>
            </w:r>
          </w:p>
        </w:tc>
        <w:tc>
          <w:tcPr>
            <w:tcW w:type="dxa" w:w="1728"/>
          </w:tcPr>
          <w:p>
            <w:r>
              <w:rPr>
                <w:rFonts w:ascii="Calibri" w:hAnsi="Calibri"/>
                <w:sz w:val="22"/>
              </w:rPr>
              <w:t>$9.558</w:t>
            </w:r>
          </w:p>
        </w:tc>
        <w:tc>
          <w:tcPr>
            <w:tcW w:type="dxa" w:w="1728"/>
          </w:tcPr>
          <w:p>
            <w:r>
              <w:rPr>
                <w:rFonts w:ascii="Calibri" w:hAnsi="Calibri"/>
                <w:b/>
                <w:color w:val="30A46C"/>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$9.510</w:t>
            </w:r>
          </w:p>
        </w:tc>
        <w:tc>
          <w:tcPr>
            <w:tcW w:type="dxa" w:w="1728"/>
          </w:tcPr>
          <w:p>
            <w:r>
              <w:rPr>
                <w:rFonts w:ascii="Calibri" w:hAnsi="Calibri"/>
                <w:sz w:val="22"/>
              </w:rPr>
              <w:t>$9.355</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Q4 FY2024</w:t>
            </w:r>
          </w:p>
        </w:tc>
        <w:tc>
          <w:tcPr>
            <w:tcW w:type="dxa" w:w="1728"/>
          </w:tcPr>
          <w:p>
            <w:r>
              <w:rPr>
                <w:rFonts w:ascii="Calibri" w:hAnsi="Calibri"/>
                <w:sz w:val="22"/>
              </w:rPr>
              <w:t>$9.617</w:t>
            </w:r>
          </w:p>
        </w:tc>
        <w:tc>
          <w:tcPr>
            <w:tcW w:type="dxa" w:w="1728"/>
          </w:tcPr>
          <w:p>
            <w:r>
              <w:rPr>
                <w:rFonts w:ascii="Calibri" w:hAnsi="Calibri"/>
                <w:sz w:val="22"/>
              </w:rPr>
              <w:t>$9.485</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Q3 FY2024</w:t>
            </w:r>
          </w:p>
        </w:tc>
        <w:tc>
          <w:tcPr>
            <w:tcW w:type="dxa" w:w="1728"/>
          </w:tcPr>
          <w:p>
            <w:r>
              <w:rPr>
                <w:rFonts w:ascii="Calibri" w:hAnsi="Calibri"/>
                <w:sz w:val="22"/>
              </w:rPr>
              <w:t>$8.900</w:t>
            </w:r>
          </w:p>
        </w:tc>
        <w:tc>
          <w:tcPr>
            <w:tcW w:type="dxa" w:w="1728"/>
          </w:tcPr>
          <w:p>
            <w:r>
              <w:rPr>
                <w:rFonts w:ascii="Calibri" w:hAnsi="Calibri"/>
                <w:sz w:val="22"/>
              </w:rPr>
              <w:t>$8.930</w:t>
            </w:r>
          </w:p>
        </w:tc>
        <w:tc>
          <w:tcPr>
            <w:tcW w:type="dxa" w:w="1728"/>
          </w:tcPr>
          <w:p>
            <w:r>
              <w:rPr>
                <w:rFonts w:ascii="Calibri" w:hAnsi="Calibri"/>
                <w:b/>
                <w:color w:val="E5484D"/>
                <w:sz w:val="22"/>
              </w:rPr>
              <w:t>-0.3%</w:t>
            </w:r>
          </w:p>
        </w:tc>
        <w:tc>
          <w:tcPr>
            <w:tcW w:type="dxa" w:w="1728"/>
          </w:tcPr>
          <w:p>
            <w:r>
              <w:rPr>
                <w:rFonts w:ascii="Calibri" w:hAnsi="Calibri"/>
                <w:b/>
                <w:color w:val="E5484D"/>
                <w:sz w:val="22"/>
              </w:rPr>
              <w:t>Miss</w:t>
            </w:r>
          </w:p>
        </w:tc>
      </w:tr>
    </w:tbl>
    <w:p>
      <w:r>
        <w:rPr>
          <w:rFonts w:ascii="Calibri" w:hAnsi="Calibri"/>
          <w:b/>
          <w:color w:val="525866"/>
          <w:sz w:val="22"/>
        </w:rPr>
        <w:t>KPI 2: 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FY2026</w:t>
            </w:r>
          </w:p>
        </w:tc>
        <w:tc>
          <w:tcPr>
            <w:tcW w:type="dxa" w:w="1728"/>
          </w:tcPr>
          <w:p>
            <w:r>
              <w:rPr>
                <w:rFonts w:ascii="Calibri" w:hAnsi="Calibri"/>
                <w:sz w:val="22"/>
              </w:rPr>
              <w:t>$3.31</w:t>
            </w:r>
          </w:p>
        </w:tc>
        <w:tc>
          <w:tcPr>
            <w:tcW w:type="dxa" w:w="1728"/>
          </w:tcPr>
          <w:p>
            <w:r>
              <w:rPr>
                <w:rFonts w:ascii="Calibri" w:hAnsi="Calibri"/>
                <w:sz w:val="22"/>
              </w:rPr>
              <w:t>$3.10</w:t>
            </w:r>
          </w:p>
        </w:tc>
        <w:tc>
          <w:tcPr>
            <w:tcW w:type="dxa" w:w="1728"/>
          </w:tcPr>
          <w:p>
            <w:r>
              <w:rPr>
                <w:rFonts w:ascii="Calibri" w:hAnsi="Calibri"/>
                <w:b/>
                <w:color w:val="30A46C"/>
                <w:sz w:val="22"/>
              </w:rPr>
              <w:t>+6.8%</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$3.17</w:t>
            </w:r>
          </w:p>
        </w:tc>
        <w:tc>
          <w:tcPr>
            <w:tcW w:type="dxa" w:w="1728"/>
          </w:tcPr>
          <w:p>
            <w:r>
              <w:rPr>
                <w:rFonts w:ascii="Calibri" w:hAnsi="Calibri"/>
                <w:sz w:val="22"/>
              </w:rPr>
              <w:t>$3.14</w:t>
            </w:r>
          </w:p>
        </w:tc>
        <w:tc>
          <w:tcPr>
            <w:tcW w:type="dxa" w:w="1728"/>
          </w:tcPr>
          <w:p>
            <w:r>
              <w:rPr>
                <w:rFonts w:ascii="Calibri" w:hAnsi="Calibri"/>
                <w:b/>
                <w:color w:val="30A46C"/>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$2.98</w:t>
            </w:r>
          </w:p>
        </w:tc>
        <w:tc>
          <w:tcPr>
            <w:tcW w:type="dxa" w:w="1728"/>
          </w:tcPr>
          <w:p>
            <w:r>
              <w:rPr>
                <w:rFonts w:ascii="Calibri" w:hAnsi="Calibri"/>
                <w:sz w:val="22"/>
              </w:rPr>
              <w:t>$2.97</w:t>
            </w:r>
          </w:p>
        </w:tc>
        <w:tc>
          <w:tcPr>
            <w:tcW w:type="dxa" w:w="1728"/>
          </w:tcPr>
          <w:p>
            <w:r>
              <w:rPr>
                <w:rFonts w:ascii="Calibri" w:hAnsi="Calibri"/>
                <w:b/>
                <w:color w:val="30A46C"/>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$2.98</w:t>
            </w:r>
          </w:p>
        </w:tc>
        <w:tc>
          <w:tcPr>
            <w:tcW w:type="dxa" w:w="1728"/>
          </w:tcPr>
          <w:p>
            <w:r>
              <w:rPr>
                <w:rFonts w:ascii="Calibri" w:hAnsi="Calibri"/>
                <w:sz w:val="22"/>
              </w:rPr>
              <w:t>$2.85</w:t>
            </w:r>
          </w:p>
        </w:tc>
        <w:tc>
          <w:tcPr>
            <w:tcW w:type="dxa" w:w="1728"/>
          </w:tcPr>
          <w:p>
            <w:r>
              <w:rPr>
                <w:rFonts w:ascii="Calibri" w:hAnsi="Calibri"/>
                <w:b/>
                <w:color w:val="30A46C"/>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$2.76</w:t>
            </w:r>
          </w:p>
        </w:tc>
        <w:tc>
          <w:tcPr>
            <w:tcW w:type="dxa" w:w="1728"/>
          </w:tcPr>
          <w:p>
            <w:r>
              <w:rPr>
                <w:rFonts w:ascii="Calibri" w:hAnsi="Calibri"/>
                <w:sz w:val="22"/>
              </w:rPr>
              <w:t>$2.68</w:t>
            </w:r>
          </w:p>
        </w:tc>
        <w:tc>
          <w:tcPr>
            <w:tcW w:type="dxa" w:w="1728"/>
          </w:tcPr>
          <w:p>
            <w:r>
              <w:rPr>
                <w:rFonts w:ascii="Calibri" w:hAnsi="Calibri"/>
                <w:b/>
                <w:color w:val="30A46C"/>
                <w:sz w:val="22"/>
              </w:rPr>
              <w:t>+3.0%</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$2.75</w:t>
            </w:r>
          </w:p>
        </w:tc>
        <w:tc>
          <w:tcPr>
            <w:tcW w:type="dxa" w:w="1728"/>
          </w:tcPr>
          <w:p>
            <w:r>
              <w:rPr>
                <w:rFonts w:ascii="Calibri" w:hAnsi="Calibri"/>
                <w:sz w:val="22"/>
              </w:rPr>
              <w:t>$2.66</w:t>
            </w:r>
          </w:p>
        </w:tc>
        <w:tc>
          <w:tcPr>
            <w:tcW w:type="dxa" w:w="1728"/>
          </w:tcPr>
          <w:p>
            <w:r>
              <w:rPr>
                <w:rFonts w:ascii="Calibri" w:hAnsi="Calibri"/>
                <w:b/>
                <w:color w:val="30A46C"/>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Q4 FY2024</w:t>
            </w:r>
          </w:p>
        </w:tc>
        <w:tc>
          <w:tcPr>
            <w:tcW w:type="dxa" w:w="1728"/>
          </w:tcPr>
          <w:p>
            <w:r>
              <w:rPr>
                <w:rFonts w:ascii="Calibri" w:hAnsi="Calibri"/>
                <w:sz w:val="22"/>
              </w:rPr>
              <w:t>$2.71</w:t>
            </w:r>
          </w:p>
        </w:tc>
        <w:tc>
          <w:tcPr>
            <w:tcW w:type="dxa" w:w="1728"/>
          </w:tcPr>
          <w:p>
            <w:r>
              <w:rPr>
                <w:rFonts w:ascii="Calibri" w:hAnsi="Calibri"/>
                <w:sz w:val="22"/>
              </w:rPr>
              <w:t>$2.58</w:t>
            </w:r>
          </w:p>
        </w:tc>
        <w:tc>
          <w:tcPr>
            <w:tcW w:type="dxa" w:w="1728"/>
          </w:tcPr>
          <w:p>
            <w:r>
              <w:rPr>
                <w:rFonts w:ascii="Calibri" w:hAnsi="Calibri"/>
                <w:b/>
                <w:color w:val="30A46C"/>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Q3 FY2024</w:t>
            </w:r>
          </w:p>
        </w:tc>
        <w:tc>
          <w:tcPr>
            <w:tcW w:type="dxa" w:w="1728"/>
          </w:tcPr>
          <w:p>
            <w:r>
              <w:rPr>
                <w:rFonts w:ascii="Calibri" w:hAnsi="Calibri"/>
                <w:sz w:val="22"/>
              </w:rPr>
              <w:t>$2.42</w:t>
            </w:r>
          </w:p>
        </w:tc>
        <w:tc>
          <w:tcPr>
            <w:tcW w:type="dxa" w:w="1728"/>
          </w:tcPr>
          <w:p>
            <w:r>
              <w:rPr>
                <w:rFonts w:ascii="Calibri" w:hAnsi="Calibri"/>
                <w:sz w:val="22"/>
              </w:rPr>
              <w:t>$2.42</w:t>
            </w:r>
          </w:p>
        </w:tc>
        <w:tc>
          <w:tcPr>
            <w:tcW w:type="dxa" w:w="1728"/>
          </w:tcPr>
          <w:p>
            <w:r>
              <w:rPr>
                <w:rFonts w:ascii="Calibri" w:hAnsi="Calibri"/>
                <w:sz w:val="22"/>
              </w:rPr>
              <w:t>0.0%</w:t>
            </w:r>
          </w:p>
        </w:tc>
        <w:tc>
          <w:tcPr>
            <w:tcW w:type="dxa" w:w="1728"/>
          </w:tcPr>
          <w:p>
            <w:r>
              <w:rPr>
                <w:rFonts w:ascii="Calibri" w:hAnsi="Calibri"/>
                <w:sz w:val="22"/>
              </w:rPr>
              <w:t>In Line</w:t>
            </w:r>
          </w:p>
        </w:tc>
      </w:tr>
    </w:tbl>
    <w:p>
      <w:r>
        <w:rPr>
          <w:rFonts w:ascii="Calibri" w:hAnsi="Calibri"/>
          <w:b/>
          <w:color w:val="525866"/>
          <w:sz w:val="22"/>
        </w:rPr>
        <w:t xml:space="preserve">Pattern: </w:t>
      </w:r>
      <w:r>
        <w:rPr>
          <w:rFonts w:ascii="Calibri" w:hAnsi="Calibri"/>
          <w:color w:val="525866"/>
          <w:sz w:val="22"/>
        </w:rPr>
        <w:t>Visa has beaten revenue consensus in 7 of the last 8 quarters and EPS in 7 of 8, with the Q2 FY2026 beat being the largest in several years (+4.5% revenue, +6.8% EPS) — a high bar that raises the hurdle for a positive stock reaction on the Q3 print.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w:t>
      </w:r>
      <w:r>
        <w:rPr>
          <w:rFonts w:ascii="Calibri" w:hAnsi="Calibri"/>
          <w:b/>
          <w:color w:val="525866"/>
          <w:sz w:val="22"/>
        </w:rPr>
        <w:t>raised full-year guidance on both revenue and EPS</w:t>
      </w:r>
      <w:r>
        <w:rPr>
          <w:rFonts w:ascii="Calibri" w:hAnsi="Calibri"/>
          <w:color w:val="525866"/>
          <w:sz w:val="22"/>
        </w:rPr>
        <w:t xml:space="preserve"> at the Q2 print (April 28), and subsequent conference appearances (JP Morgan May 19, Bernstein May 28, Baird June 3) have been consistently constructive with no further formal guidance changes — tone has remained confident, with intra-quarter volume data through late May showing improvement across all metrics.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FY2026 Net Revenue Growth (adj. CC)</w:t>
            </w:r>
          </w:p>
        </w:tc>
        <w:tc>
          <w:tcPr>
            <w:tcW w:type="dxa" w:w="1728"/>
          </w:tcPr>
          <w:p>
            <w:r>
              <w:rPr>
                <w:rFonts w:ascii="Calibri" w:hAnsi="Calibri"/>
                <w:sz w:val="22"/>
              </w:rPr>
              <w:t>Low double-digit growth; "lowest growth quarter of the year"</w:t>
            </w:r>
          </w:p>
        </w:tc>
        <w:tc>
          <w:tcPr>
            <w:tcW w:type="dxa" w:w="1728"/>
          </w:tcPr>
          <w:p>
            <w:r>
              <w:rPr>
                <w:rFonts w:ascii="Calibri" w:hAnsi="Calibri"/>
                <w:sz w:val="22"/>
              </w:rPr>
              <w:t>—</w:t>
            </w:r>
          </w:p>
        </w:tc>
        <w:tc>
          <w:tcPr>
            <w:tcW w:type="dxa" w:w="1728"/>
          </w:tcPr>
          <w:p>
            <w:r>
              <w:rPr>
                <w:rFonts w:ascii="Calibri" w:hAnsi="Calibri"/>
                <w:sz w:val="22"/>
              </w:rPr>
              <w:t>~+12% YoY ($11.39B)</w:t>
            </w:r>
          </w:p>
        </w:tc>
        <w:tc>
          <w:tcPr>
            <w:tcW w:type="dxa" w:w="1728"/>
          </w:tcPr>
          <w:p>
            <w:r>
              <w:rPr>
                <w:rFonts w:ascii="Calibri" w:hAnsi="Calibri"/>
                <w:sz w:val="22"/>
              </w:rPr>
              <w:t>No change post-earnings; consensus in line with guidance</w:t>
            </w:r>
          </w:p>
        </w:tc>
      </w:tr>
      <w:tr>
        <w:tc>
          <w:tcPr>
            <w:tcW w:type="dxa" w:w="1728"/>
          </w:tcPr>
          <w:p>
            <w:r>
              <w:rPr>
                <w:rFonts w:ascii="Calibri" w:hAnsi="Calibri"/>
                <w:sz w:val="22"/>
              </w:rPr>
              <w:t>Q3 FY2026 Adj. EPS Growth</w:t>
            </w:r>
          </w:p>
        </w:tc>
        <w:tc>
          <w:tcPr>
            <w:tcW w:type="dxa" w:w="1728"/>
          </w:tcPr>
          <w:p>
            <w:r>
              <w:rPr>
                <w:rFonts w:ascii="Calibri" w:hAnsi="Calibri"/>
                <w:sz w:val="22"/>
              </w:rPr>
              <w:t>Mid-to-high single digit growth</w:t>
            </w:r>
          </w:p>
        </w:tc>
        <w:tc>
          <w:tcPr>
            <w:tcW w:type="dxa" w:w="1728"/>
          </w:tcPr>
          <w:p>
            <w:r>
              <w:rPr>
                <w:rFonts w:ascii="Calibri" w:hAnsi="Calibri"/>
                <w:sz w:val="22"/>
              </w:rPr>
              <w:t>—</w:t>
            </w:r>
          </w:p>
        </w:tc>
        <w:tc>
          <w:tcPr>
            <w:tcW w:type="dxa" w:w="1728"/>
          </w:tcPr>
          <w:p>
            <w:r>
              <w:rPr>
                <w:rFonts w:ascii="Calibri" w:hAnsi="Calibri"/>
                <w:sz w:val="22"/>
              </w:rPr>
              <w:t>+8.4% YoY ($3.23)</w:t>
            </w:r>
          </w:p>
        </w:tc>
        <w:tc>
          <w:tcPr>
            <w:tcW w:type="dxa" w:w="1728"/>
          </w:tcPr>
          <w:p>
            <w:r>
              <w:rPr>
                <w:rFonts w:ascii="Calibri" w:hAnsi="Calibri"/>
                <w:sz w:val="22"/>
              </w:rPr>
              <w:t>No change; consensus at high end of guidance range</w:t>
            </w:r>
          </w:p>
        </w:tc>
      </w:tr>
      <w:tr>
        <w:tc>
          <w:tcPr>
            <w:tcW w:type="dxa" w:w="1728"/>
          </w:tcPr>
          <w:p>
            <w:r>
              <w:rPr>
                <w:rFonts w:ascii="Calibri" w:hAnsi="Calibri"/>
                <w:sz w:val="22"/>
              </w:rPr>
              <w:t>Q3 FY2026 Operating Expense Growth</w:t>
            </w:r>
          </w:p>
        </w:tc>
        <w:tc>
          <w:tcPr>
            <w:tcW w:type="dxa" w:w="1728"/>
          </w:tcPr>
          <w:p>
            <w:r>
              <w:rPr>
                <w:rFonts w:ascii="Calibri" w:hAnsi="Calibri"/>
                <w:sz w:val="22"/>
              </w:rPr>
              <w:t>Low teens; slight step-up from Q2 due to FIFA marketing</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FIFA-related marketing services driving opex step-up</w:t>
            </w:r>
          </w:p>
        </w:tc>
      </w:tr>
      <w:tr>
        <w:tc>
          <w:tcPr>
            <w:tcW w:type="dxa" w:w="1728"/>
          </w:tcPr>
          <w:p>
            <w:r>
              <w:rPr>
                <w:rFonts w:ascii="Calibri" w:hAnsi="Calibri"/>
                <w:sz w:val="22"/>
              </w:rPr>
              <w:t>Q3 FY2026 Non-Operating Expense</w:t>
            </w:r>
          </w:p>
        </w:tc>
        <w:tc>
          <w:tcPr>
            <w:tcW w:type="dxa" w:w="1728"/>
          </w:tcPr>
          <w:p>
            <w:r>
              <w:rPr>
                <w:rFonts w:ascii="Calibri" w:hAnsi="Calibri"/>
                <w:sz w:val="22"/>
              </w:rPr>
              <w:t>~$55M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w:t>
            </w:r>
          </w:p>
        </w:tc>
      </w:tr>
      <w:tr>
        <w:tc>
          <w:tcPr>
            <w:tcW w:type="dxa" w:w="1728"/>
          </w:tcPr>
          <w:p>
            <w:r>
              <w:rPr>
                <w:rFonts w:ascii="Calibri" w:hAnsi="Calibri"/>
                <w:sz w:val="22"/>
              </w:rPr>
              <w:t>Q3 FY2026 Tax Rate</w:t>
            </w:r>
          </w:p>
        </w:tc>
        <w:tc>
          <w:tcPr>
            <w:tcW w:type="dxa" w:w="1728"/>
          </w:tcPr>
          <w:p>
            <w:r>
              <w:rPr>
                <w:rFonts w:ascii="Calibri" w:hAnsi="Calibri"/>
                <w:sz w:val="22"/>
              </w:rPr>
              <w:t>~18.5%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w:t>
            </w:r>
          </w:p>
        </w:tc>
      </w:tr>
      <w:tr>
        <w:tc>
          <w:tcPr>
            <w:tcW w:type="dxa" w:w="1728"/>
          </w:tcPr>
          <w:p>
            <w:r>
              <w:rPr>
                <w:rFonts w:ascii="Calibri" w:hAnsi="Calibri"/>
                <w:sz w:val="22"/>
              </w:rPr>
              <w:t>FY2026 Net Revenue Growth (adj. CC)</w:t>
            </w:r>
          </w:p>
        </w:tc>
        <w:tc>
          <w:tcPr>
            <w:tcW w:type="dxa" w:w="1728"/>
          </w:tcPr>
          <w:p>
            <w:r>
              <w:rPr>
                <w:rFonts w:ascii="Calibri" w:hAnsi="Calibri"/>
                <w:sz w:val="22"/>
              </w:rPr>
              <w:t>↑ Raised to low double-digit to low teens (from prior outlook)</w:t>
            </w:r>
          </w:p>
        </w:tc>
        <w:tc>
          <w:tcPr>
            <w:tcW w:type="dxa" w:w="1728"/>
          </w:tcPr>
          <w:p>
            <w:r>
              <w:rPr>
                <w:rFonts w:ascii="Calibri" w:hAnsi="Calibri"/>
                <w:sz w:val="22"/>
              </w:rPr>
              <w:t>—</w:t>
            </w:r>
          </w:p>
        </w:tc>
        <w:tc>
          <w:tcPr>
            <w:tcW w:type="dxa" w:w="1728"/>
          </w:tcPr>
          <w:p>
            <w:r>
              <w:rPr>
                <w:rFonts w:ascii="Calibri" w:hAnsi="Calibri"/>
                <w:sz w:val="22"/>
              </w:rPr>
              <w:t>N/A (FY not separately tracked in this table)</w:t>
            </w:r>
          </w:p>
        </w:tc>
        <w:tc>
          <w:tcPr>
            <w:tcW w:type="dxa" w:w="1728"/>
          </w:tcPr>
          <w:p>
            <w:r>
              <w:rPr>
                <w:rFonts w:ascii="Calibri" w:hAnsi="Calibri"/>
                <w:sz w:val="22"/>
              </w:rPr>
              <w:t>↑ Raised at Q2 earnings Apr 28; FIFA VAS enthusiasm cited</w:t>
            </w:r>
          </w:p>
        </w:tc>
      </w:tr>
      <w:tr>
        <w:tc>
          <w:tcPr>
            <w:tcW w:type="dxa" w:w="1728"/>
          </w:tcPr>
          <w:p>
            <w:r>
              <w:rPr>
                <w:rFonts w:ascii="Calibri" w:hAnsi="Calibri"/>
                <w:sz w:val="22"/>
              </w:rPr>
              <w:t>FY2026 Adj. EPS Growth</w:t>
            </w:r>
          </w:p>
        </w:tc>
        <w:tc>
          <w:tcPr>
            <w:tcW w:type="dxa" w:w="1728"/>
          </w:tcPr>
          <w:p>
            <w:r>
              <w:rPr>
                <w:rFonts w:ascii="Calibri" w:hAnsi="Calibri"/>
                <w:sz w:val="22"/>
              </w:rPr>
              <w:t>↑ Raised to low teens (from prior outlook)</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at Q2 earnings Apr 28; tax rate closer to low end of 18–18.5% range</w:t>
            </w:r>
          </w:p>
        </w:tc>
      </w:tr>
      <w:tr>
        <w:tc>
          <w:tcPr>
            <w:tcW w:type="dxa" w:w="1728"/>
          </w:tcPr>
          <w:p>
            <w:r>
              <w:rPr>
                <w:rFonts w:ascii="Calibri" w:hAnsi="Calibri"/>
                <w:sz w:val="22"/>
              </w:rPr>
              <w:t>FX Volatility Assumption</w:t>
            </w:r>
          </w:p>
        </w:tc>
        <w:tc>
          <w:tcPr>
            <w:tcW w:type="dxa" w:w="1728"/>
          </w:tcPr>
          <w:p>
            <w:r>
              <w:rPr>
                <w:rFonts w:ascii="Calibri" w:hAnsi="Calibri"/>
                <w:sz w:val="22"/>
              </w:rPr>
              <w:t>Brought back up to original Oct guidance levels; Q3/Q4 to be "more in line with Q4 FY2025 exit"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Volatility was "higher than expected" in Q2 and early Q3 — potential upside if sustained</w:t>
            </w:r>
          </w:p>
        </w:tc>
      </w:tr>
    </w:tbl>
    <w:p>
      <w:r>
        <w:rPr>
          <w:rFonts w:ascii="Calibri" w:hAnsi="Calibri"/>
          <w:color w:val="525866"/>
          <w:sz w:val="22"/>
        </w:rPr>
        <w:t xml:space="preserve">Key dynamics for Q3: (1) </w:t>
      </w:r>
      <w:r>
        <w:rPr>
          <w:rFonts w:ascii="Calibri" w:hAnsi="Calibri"/>
          <w:b/>
          <w:color w:val="525866"/>
          <w:sz w:val="22"/>
        </w:rPr>
        <w:t>Higher incentive growth</w:t>
      </w:r>
      <w:r>
        <w:rPr>
          <w:rFonts w:ascii="Calibri" w:hAnsi="Calibri"/>
          <w:color w:val="525866"/>
          <w:sz w:val="22"/>
        </w:rPr>
        <w:t xml:space="preserve"> is expected due to deal timing and lapping the Q3 FY2025 low point; (2) </w:t>
      </w:r>
      <w:r>
        <w:rPr>
          <w:rFonts w:ascii="Calibri" w:hAnsi="Calibri"/>
          <w:b/>
          <w:color w:val="525866"/>
          <w:sz w:val="22"/>
        </w:rPr>
        <w:t>Lower FX volatility comps</w:t>
      </w:r>
      <w:r>
        <w:rPr>
          <w:rFonts w:ascii="Calibri" w:hAnsi="Calibri"/>
          <w:color w:val="525866"/>
          <w:sz w:val="22"/>
        </w:rPr>
        <w:t xml:space="preserve"> vs. the highest volatility quarter of the prior year create a headwind to international transaction revenue; (3) </w:t>
      </w:r>
      <w:r>
        <w:rPr>
          <w:rFonts w:ascii="Calibri" w:hAnsi="Calibri"/>
          <w:b/>
          <w:color w:val="525866"/>
          <w:sz w:val="22"/>
        </w:rPr>
        <w:t>Second-half weighted pricing</w:t>
      </w:r>
      <w:r>
        <w:rPr>
          <w:rFonts w:ascii="Calibri" w:hAnsi="Calibri"/>
          <w:color w:val="525866"/>
          <w:sz w:val="22"/>
        </w:rPr>
        <w:t xml:space="preserve"> partially offsets the first two factors. Management guided for an ~1 point step-up in net revenue growth from Q3 to Q4, primarily driven by less volatility drag and stronger FIFA/marketing services revenue.</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Q2 print, tracking in line with the raised guidance rather than diverging — </w:t>
      </w:r>
      <w:r>
        <w:rPr>
          <w:rFonts w:ascii="Calibri" w:hAnsi="Calibri"/>
          <w:b/>
          <w:color w:val="525866"/>
          <w:sz w:val="22"/>
        </w:rPr>
        <w:t>no meaningful gap between consensus and guidance</w:t>
      </w:r>
      <w:r>
        <w:rPr>
          <w:rFonts w:ascii="Calibri" w:hAnsi="Calibri"/>
          <w:color w:val="525866"/>
          <w:sz w:val="22"/>
        </w:rPr>
        <w:t xml:space="preserve"> that would signal either a cushion or a risk. The revision trajectory is constructive but not aggressive, consistent with a market that believes the guide but isn't pricing in another large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(as of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Net Revenue (Q3 FY2026)</w:t>
            </w:r>
          </w:p>
        </w:tc>
        <w:tc>
          <w:tcPr>
            <w:tcW w:type="dxa" w:w="1080"/>
          </w:tcPr>
          <w:p>
            <w:r>
              <w:rPr>
                <w:rFonts w:ascii="Calibri" w:hAnsi="Calibri"/>
                <w:sz w:val="22"/>
              </w:rPr>
              <w:t>$11.365B</w:t>
            </w:r>
          </w:p>
        </w:tc>
        <w:tc>
          <w:tcPr>
            <w:tcW w:type="dxa" w:w="1080"/>
          </w:tcPr>
          <w:p>
            <w:r>
              <w:rPr>
                <w:rFonts w:ascii="Calibri" w:hAnsi="Calibri"/>
                <w:sz w:val="22"/>
              </w:rPr>
              <w:t>$11.385B</w:t>
            </w:r>
          </w:p>
        </w:tc>
        <w:tc>
          <w:tcPr>
            <w:tcW w:type="dxa" w:w="1080"/>
          </w:tcPr>
          <w:p>
            <w:r>
              <w:rPr>
                <w:rFonts w:ascii="Calibri" w:hAnsi="Calibri"/>
                <w:b/>
                <w:color w:val="30A46C"/>
                <w:sz w:val="22"/>
              </w:rPr>
              <w:t>+0.2%</w:t>
            </w:r>
          </w:p>
        </w:tc>
        <w:tc>
          <w:tcPr>
            <w:tcW w:type="dxa" w:w="1080"/>
          </w:tcPr>
          <w:p>
            <w:r>
              <w:rPr>
                <w:rFonts w:ascii="Calibri" w:hAnsi="Calibri"/>
                <w:sz w:val="22"/>
              </w:rPr>
              <w:t>Low double-digit growth (adj. CC)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(Q3 FY2026)</w:t>
            </w:r>
          </w:p>
        </w:tc>
        <w:tc>
          <w:tcPr>
            <w:tcW w:type="dxa" w:w="1080"/>
          </w:tcPr>
          <w:p>
            <w:r>
              <w:rPr>
                <w:rFonts w:ascii="Calibri" w:hAnsi="Calibri"/>
                <w:sz w:val="22"/>
              </w:rPr>
              <w:t>$3.224</w:t>
            </w:r>
          </w:p>
        </w:tc>
        <w:tc>
          <w:tcPr>
            <w:tcW w:type="dxa" w:w="1080"/>
          </w:tcPr>
          <w:p>
            <w:r>
              <w:rPr>
                <w:rFonts w:ascii="Calibri" w:hAnsi="Calibri"/>
                <w:sz w:val="22"/>
              </w:rPr>
              <w:t>$3.228</w:t>
            </w:r>
          </w:p>
        </w:tc>
        <w:tc>
          <w:tcPr>
            <w:tcW w:type="dxa" w:w="1080"/>
          </w:tcPr>
          <w:p>
            <w:r>
              <w:rPr>
                <w:rFonts w:ascii="Calibri" w:hAnsi="Calibri"/>
                <w:b/>
                <w:color w:val="30A46C"/>
                <w:sz w:val="22"/>
              </w:rPr>
              <w:t>+0.1%</w:t>
            </w:r>
          </w:p>
        </w:tc>
        <w:tc>
          <w:tcPr>
            <w:tcW w:type="dxa" w:w="1080"/>
          </w:tcPr>
          <w:p>
            <w:r>
              <w:rPr>
                <w:rFonts w:ascii="Calibri" w:hAnsi="Calibri"/>
                <w:sz w:val="22"/>
              </w:rPr>
              <w:t>Mid-to-high single 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high end of range</w:t>
            </w:r>
          </w:p>
        </w:tc>
      </w:tr>
      <w:tr>
        <w:tc>
          <w:tcPr>
            <w:tcW w:type="dxa" w:w="1080"/>
          </w:tcPr>
          <w:p>
            <w:r>
              <w:rPr>
                <w:rFonts w:ascii="Calibri" w:hAnsi="Calibri"/>
                <w:sz w:val="22"/>
              </w:rPr>
              <w:t>Cross-Border Vol. Growth ex-Intra-EU (Q3 FY2026)</w:t>
            </w:r>
          </w:p>
        </w:tc>
        <w:tc>
          <w:tcPr>
            <w:tcW w:type="dxa" w:w="1080"/>
          </w:tcPr>
          <w:p>
            <w:r>
              <w:rPr>
                <w:rFonts w:ascii="Calibri" w:hAnsi="Calibri"/>
                <w:sz w:val="22"/>
              </w:rPr>
              <w:t>~9.8%</w:t>
            </w:r>
          </w:p>
        </w:tc>
        <w:tc>
          <w:tcPr>
            <w:tcW w:type="dxa" w:w="1080"/>
          </w:tcPr>
          <w:p>
            <w:r>
              <w:rPr>
                <w:rFonts w:ascii="Calibri" w:hAnsi="Calibri"/>
                <w:sz w:val="22"/>
              </w:rPr>
              <w:t>~10.8%</w:t>
            </w:r>
          </w:p>
        </w:tc>
        <w:tc>
          <w:tcPr>
            <w:tcW w:type="dxa" w:w="1080"/>
          </w:tcPr>
          <w:p>
            <w:r>
              <w:rPr>
                <w:rFonts w:ascii="Calibri" w:hAnsi="Calibri"/>
                <w:b/>
                <w:color w:val="30A46C"/>
                <w:sz w:val="22"/>
              </w:rPr>
              <w:t>+1.0pp</w:t>
            </w:r>
          </w:p>
        </w:tc>
        <w:tc>
          <w:tcPr>
            <w:tcW w:type="dxa" w:w="1080"/>
          </w:tcPr>
          <w:p>
            <w:r>
              <w:rPr>
                <w:rFonts w:ascii="Calibri" w:hAnsi="Calibri"/>
                <w:sz w:val="22"/>
              </w:rPr>
              <w:t>Resilient; FIFA inbound tailwind; CEMEA headwind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 upward revision post-Q2</w:t>
            </w:r>
          </w:p>
        </w:tc>
      </w:tr>
      <w:tr>
        <w:tc>
          <w:tcPr>
            <w:tcW w:type="dxa" w:w="1080"/>
          </w:tcPr>
          <w:p>
            <w:r>
              <w:rPr>
                <w:rFonts w:ascii="Calibri" w:hAnsi="Calibri"/>
                <w:sz w:val="22"/>
              </w:rPr>
              <w:t>Payments Volume Growth (Q3 FY2026)</w:t>
            </w:r>
          </w:p>
        </w:tc>
        <w:tc>
          <w:tcPr>
            <w:tcW w:type="dxa" w:w="1080"/>
          </w:tcPr>
          <w:p>
            <w:r>
              <w:rPr>
                <w:rFonts w:ascii="Calibri" w:hAnsi="Calibri"/>
                <w:sz w:val="22"/>
              </w:rPr>
              <w:t>~8.8%</w:t>
            </w:r>
          </w:p>
        </w:tc>
        <w:tc>
          <w:tcPr>
            <w:tcW w:type="dxa" w:w="1080"/>
          </w:tcPr>
          <w:p>
            <w:r>
              <w:rPr>
                <w:rFonts w:ascii="Calibri" w:hAnsi="Calibri"/>
                <w:sz w:val="22"/>
              </w:rPr>
              <w:t>~8.9%</w:t>
            </w:r>
          </w:p>
        </w:tc>
        <w:tc>
          <w:tcPr>
            <w:tcW w:type="dxa" w:w="1080"/>
          </w:tcPr>
          <w:p>
            <w:r>
              <w:rPr>
                <w:rFonts w:ascii="Calibri" w:hAnsi="Calibri"/>
                <w:sz w:val="22"/>
              </w:rPr>
              <w:t>+0.1pp</w:t>
            </w:r>
          </w:p>
        </w:tc>
        <w:tc>
          <w:tcPr>
            <w:tcW w:type="dxa" w:w="1080"/>
          </w:tcPr>
          <w:p>
            <w:r>
              <w:rPr>
                <w:rFonts w:ascii="Calibri" w:hAnsi="Calibri"/>
                <w:sz w:val="22"/>
              </w:rPr>
              <w:t>Stable; consumer resilience assumed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color w:val="525866"/>
          <w:sz w:val="22"/>
        </w:rPr>
        <w:t>Estimates have drifted only marginally higher since the Q2 print, consistent with management's guidance rather than reflecting incremental optimism. The cross-border volume estimate has seen the most notable upward revision (+1pp), likely reflecting the FIFA World Cup inbound travel tailwind and the continued resilience of cross-border e-commerce. The EPS estimate sits at the high end of the mid-to-high single digit guidance range, leaving limited room for a guidance-driven upside surprise on EPS unless incentives or FX volatility surprise favorably.</w:t>
      </w:r>
    </w:p>
    <w:p>
      <w:r>
        <w:rPr>
          <w:rFonts w:ascii="Calibri" w:hAnsi="Calibri"/>
          <w:color w:val="525866"/>
          <w:sz w:val="22"/>
        </w:rPr>
        <w:t>Source: Visible Alpha consensus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V has outperformed meaningfully since the Q2 print — </w:t>
      </w:r>
      <w:r>
        <w:rPr>
          <w:rFonts w:ascii="Calibri" w:hAnsi="Calibri"/>
          <w:b/>
          <w:color w:val="525866"/>
          <w:sz w:val="22"/>
        </w:rPr>
        <w:t>+17.2% vs. MA +8.7% and AXP +6.2%</w:t>
      </w:r>
      <w:r>
        <w:rPr>
          <w:rFonts w:ascii="Calibri" w:hAnsi="Calibri"/>
          <w:color w:val="525866"/>
          <w:sz w:val="22"/>
        </w:rPr>
        <w:t xml:space="preserve"> — driven primarily by the magnitude of the Q2 beat and the guidance raise, with the stock re-rating higher on both earnings revision and multiple expansion; the outperformance raises the bar for a positive reaction on Q3.</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V vs. MA vs. AXP — Indexed Price Since Last Earnings (Apr 28, 2026). Peers used: MA (Mastercard, direct network peer) and AXP (American Express, payments/consumer spend peer). Source: Stock Price Data.</w:t>
      </w:r>
    </w:p>
    <w:p>
      <w:pPr>
        <w:pStyle w:val="ListBullet"/>
        <w:ind w:left="360" w:hanging="360"/>
      </w:pPr>
      <w:r>
        <w:rPr>
          <w:rFonts w:ascii="Calibri" w:hAnsi="Calibri"/>
          <w:b/>
          <w:color w:val="525866"/>
          <w:sz w:val="22"/>
        </w:rPr>
        <w:t>Apr 28, 2026:</w:t>
      </w:r>
      <w:r>
        <w:rPr>
          <w:rFonts w:ascii="Calibri" w:hAnsi="Calibri"/>
          <w:color w:val="525866"/>
          <w:sz w:val="22"/>
        </w:rPr>
        <w:t xml:space="preserve"> V closed at $309.30 on earnings day; surged to $334.86 (+8.3%) the following session on the Q2 beat and guidance raise.</w:t>
      </w:r>
    </w:p>
    <w:p>
      <w:pPr>
        <w:pStyle w:val="ListBullet"/>
        <w:ind w:left="360" w:hanging="360"/>
      </w:pPr>
      <w:r>
        <w:rPr>
          <w:rFonts w:ascii="Calibri" w:hAnsi="Calibri"/>
          <w:b/>
          <w:color w:val="525866"/>
          <w:sz w:val="22"/>
        </w:rPr>
        <w:t>May 12, 2026:</w:t>
      </w:r>
      <w:r>
        <w:rPr>
          <w:rFonts w:ascii="Calibri" w:hAnsi="Calibri"/>
          <w:color w:val="525866"/>
          <w:sz w:val="22"/>
        </w:rPr>
        <w:t xml:space="preserve"> MDL stock exchange finalized ($17.4B litigation settlement); Class B conversion rates adjusted. Stock held gains, reflecting market view that litigation overhang is clearing.</w:t>
      </w:r>
    </w:p>
    <w:p>
      <w:pPr>
        <w:pStyle w:val="ListBullet"/>
        <w:ind w:left="360" w:hanging="360"/>
      </w:pPr>
      <w:r>
        <w:rPr>
          <w:rFonts w:ascii="Calibri" w:hAnsi="Calibri"/>
          <w:b/>
          <w:color w:val="525866"/>
          <w:sz w:val="22"/>
        </w:rPr>
        <w:t>May 27, 2026:</w:t>
      </w:r>
      <w:r>
        <w:rPr>
          <w:rFonts w:ascii="Calibri" w:hAnsi="Calibri"/>
          <w:color w:val="525866"/>
          <w:sz w:val="22"/>
        </w:rPr>
        <w:t xml:space="preserve"> Visa announced €500M incremental investment in Europe over 10 years (new Frankfurt HQ, Warsaw tech center, European data center). Modest positive read as it signals commitment to a key growth region.</w:t>
      </w:r>
    </w:p>
    <w:p>
      <w:pPr>
        <w:pStyle w:val="ListBullet"/>
        <w:ind w:left="360" w:hanging="360"/>
      </w:pPr>
      <w:r>
        <w:rPr>
          <w:rFonts w:ascii="Calibri" w:hAnsi="Calibri"/>
          <w:b/>
          <w:color w:val="525866"/>
          <w:sz w:val="22"/>
        </w:rPr>
        <w:t>Jun 26, 2026:</w:t>
      </w:r>
      <w:r>
        <w:rPr>
          <w:rFonts w:ascii="Calibri" w:hAnsi="Calibri"/>
          <w:color w:val="525866"/>
          <w:sz w:val="22"/>
        </w:rPr>
        <w:t xml:space="preserve"> Visa funded the litigation escrow, adjusting Class B conversion rates. Administrative step in MDL settlement process; no material stock impact.</w:t>
      </w:r>
    </w:p>
    <w:p>
      <w:pPr>
        <w:pStyle w:val="ListBullet"/>
        <w:ind w:left="360" w:hanging="360"/>
      </w:pPr>
      <w:r>
        <w:rPr>
          <w:rFonts w:ascii="Calibri" w:hAnsi="Calibri"/>
          <w:b/>
          <w:color w:val="525866"/>
          <w:sz w:val="22"/>
        </w:rPr>
        <w:t>Late June / Early July:</w:t>
      </w:r>
      <w:r>
        <w:rPr>
          <w:rFonts w:ascii="Calibri" w:hAnsi="Calibri"/>
          <w:color w:val="525866"/>
          <w:sz w:val="22"/>
        </w:rPr>
        <w:t xml:space="preserve"> V accelerated sharply from ~$330 to ~$362, likely driven by FIFA World Cup commencement (June 19 kickoff) and positive read-through from AXP's strong Q2 print (July 24) showing 9.4% FX-adjusted spend growth.</w:t>
      </w:r>
    </w:p>
    <w:p>
      <w:pPr>
        <w:pStyle w:val="ListBullet"/>
        <w:ind w:left="360" w:hanging="360"/>
      </w:pPr>
      <w:r>
        <w:rPr>
          <w:rFonts w:ascii="Calibri" w:hAnsi="Calibri"/>
          <w:b/>
          <w:color w:val="525866"/>
          <w:sz w:val="22"/>
        </w:rPr>
        <w:t>Jul 28, 2026:</w:t>
      </w:r>
      <w:r>
        <w:rPr>
          <w:rFonts w:ascii="Calibri" w:hAnsi="Calibri"/>
          <w:color w:val="525866"/>
          <w:sz w:val="22"/>
        </w:rPr>
        <w:t xml:space="preserve"> V at $362.53 pre-earnings, up +17.2% since the Q2 print. The stock is trading at a premium to its 10-year average P/E, suggesting the market is pricing in continued execution.</w:t>
      </w:r>
    </w:p>
    <w:p>
      <w:r>
        <w:br w:type="page"/>
      </w:r>
    </w:p>
    <w:p>
      <w:pPr>
        <w:pStyle w:val="Heading2"/>
      </w:pPr>
      <w:r>
        <w:rPr>
          <w:rFonts w:ascii="Calibri" w:hAnsi="Calibri"/>
          <w:b/>
          <w:color w:val="3B4259"/>
          <w:sz w:val="28"/>
        </w:rPr>
        <w:t>6. Peer Commentaries — Read-Through (Last 60 Days, Current Quarter)</w:t>
      </w:r>
    </w:p>
    <w:p>
      <w:r>
        <w:rPr>
          <w:rFonts w:ascii="Calibri" w:hAnsi="Calibri"/>
          <w:b/>
          <w:color w:val="525866"/>
          <w:sz w:val="22"/>
        </w:rPr>
        <w:t xml:space="preserve">Key Takeaway: </w:t>
      </w:r>
      <w:r>
        <w:rPr>
          <w:rFonts w:ascii="Calibri" w:hAnsi="Calibri"/>
          <w:color w:val="525866"/>
          <w:sz w:val="22"/>
        </w:rPr>
        <w:t xml:space="preserve">Peer commentary from the last 60 days is uniformly constructive on consumer spending and cross-border volumes, with </w:t>
      </w:r>
      <w:r>
        <w:rPr>
          <w:rFonts w:ascii="Calibri" w:hAnsi="Calibri"/>
          <w:b/>
          <w:color w:val="525866"/>
          <w:sz w:val="22"/>
        </w:rPr>
        <w:t>Mastercard, American Express, and Capital One</w:t>
      </w:r>
      <w:r>
        <w:rPr>
          <w:rFonts w:ascii="Calibri" w:hAnsi="Calibri"/>
          <w:color w:val="525866"/>
          <w:sz w:val="22"/>
        </w:rPr>
        <w:t xml:space="preserve"> all confirming resilient spending trends through Q2 (April–June 2026) — a strong positive read-through for Visa's Q3 print. The FIFA World Cup and VAS/marketing services momentum are incremental tailwinds specific to Visa.</w:t>
      </w:r>
    </w:p>
    <w:p>
      <w:pPr>
        <w:pStyle w:val="Heading3"/>
      </w:pPr>
      <w:r>
        <w:rPr>
          <w:rFonts w:ascii="Calibri" w:hAnsi="Calibri"/>
          <w:b/>
          <w:color w:val="3B4259"/>
          <w:sz w:val="24"/>
        </w:rPr>
        <w:t>Mastercard (MA) — Bernstein Conference, May 28, 2026</w:t>
      </w:r>
    </w:p>
    <w:p>
      <w:r>
        <w:rPr>
          <w:rFonts w:ascii="Calibri" w:hAnsi="Calibri"/>
          <w:b/>
          <w:color w:val="525866"/>
          <w:sz w:val="22"/>
        </w:rPr>
        <w:t xml:space="preserve">Read-Through: </w:t>
      </w:r>
      <w:r>
        <w:rPr>
          <w:rFonts w:ascii="Calibri" w:hAnsi="Calibri"/>
          <w:color w:val="525866"/>
          <w:sz w:val="22"/>
        </w:rPr>
        <w:t>Positive for Visa cross-border and consumer volumes.</w:t>
      </w:r>
    </w:p>
    <w:p>
      <w:pPr>
        <w:pStyle w:val="ListBullet"/>
        <w:ind w:left="360" w:hanging="360"/>
      </w:pPr>
      <w:r>
        <w:rPr>
          <w:rFonts w:ascii="Calibri" w:hAnsi="Calibri"/>
          <w:b/>
          <w:color w:val="525866"/>
          <w:sz w:val="22"/>
        </w:rPr>
        <w:t>Consumer spending "stable to slightly better"</w:t>
      </w:r>
      <w:r>
        <w:rPr>
          <w:rFonts w:ascii="Calibri" w:hAnsi="Calibri"/>
          <w:color w:val="525866"/>
          <w:sz w:val="22"/>
        </w:rPr>
        <w:t xml:space="preserve"> through the first two weeks of May, with U.S. showing "healthy growth" and international growing "at a healthy clip" — directly corroborates Visa's own mid-May update.</w:t>
      </w:r>
    </w:p>
    <w:p>
      <w:pPr>
        <w:pStyle w:val="ListBullet"/>
        <w:ind w:left="360" w:hanging="360"/>
      </w:pPr>
      <w:r>
        <w:rPr>
          <w:rFonts w:ascii="Calibri" w:hAnsi="Calibri"/>
          <w:b/>
          <w:color w:val="525866"/>
          <w:sz w:val="22"/>
        </w:rPr>
        <w:t>Macro backdrop described as "supportive for consumer spending"</w:t>
      </w:r>
      <w:r>
        <w:rPr>
          <w:rFonts w:ascii="Calibri" w:hAnsi="Calibri"/>
          <w:color w:val="525866"/>
          <w:sz w:val="22"/>
        </w:rPr>
        <w:t>: low unemployment, wage growth keeping pace with inflation, equity markets intact (wealth effect). No evidence of broad consumer deterioration.</w:t>
      </w:r>
    </w:p>
    <w:p>
      <w:pPr>
        <w:pStyle w:val="ListBullet"/>
        <w:ind w:left="360" w:hanging="360"/>
      </w:pPr>
      <w:r>
        <w:rPr>
          <w:rFonts w:ascii="Calibri" w:hAnsi="Calibri"/>
          <w:b/>
          <w:color w:val="525866"/>
          <w:sz w:val="22"/>
        </w:rPr>
        <w:t>Middle East conflict acknowledged as a cyclical headwind</w:t>
      </w:r>
      <w:r>
        <w:rPr>
          <w:rFonts w:ascii="Calibri" w:hAnsi="Calibri"/>
          <w:color w:val="525866"/>
          <w:sz w:val="22"/>
        </w:rPr>
        <w:t xml:space="preserve"> but described as "usually relatively short-lived" and "quite dulled" given geographic diversification — consistent with Visa's CEMEA impact framing.</w:t>
      </w:r>
    </w:p>
    <w:p>
      <w:pPr>
        <w:pStyle w:val="ListBullet"/>
        <w:ind w:left="360" w:hanging="360"/>
      </w:pPr>
      <w:r>
        <w:rPr>
          <w:rFonts w:ascii="Calibri" w:hAnsi="Calibri"/>
          <w:b/>
          <w:color w:val="525866"/>
          <w:sz w:val="22"/>
        </w:rPr>
        <w:t>VAS at 40% of Mastercard revenue and "growing meaningfully faster"</w:t>
      </w:r>
      <w:r>
        <w:rPr>
          <w:rFonts w:ascii="Calibri" w:hAnsi="Calibri"/>
          <w:color w:val="525866"/>
          <w:sz w:val="22"/>
        </w:rPr>
        <w:t xml:space="preserve"> than the rest of the business — validates Visa's VAS acceleration narrative and suggests the category is a durable secular trend, not a one-quarter phenomenon.</w:t>
      </w:r>
    </w:p>
    <w:p>
      <w:pPr>
        <w:pStyle w:val="ListBullet"/>
        <w:ind w:left="360" w:hanging="360"/>
      </w:pPr>
      <w:r>
        <w:rPr>
          <w:rFonts w:ascii="Calibri" w:hAnsi="Calibri"/>
          <w:b/>
          <w:color w:val="525866"/>
          <w:sz w:val="22"/>
        </w:rPr>
        <w:t>Agentic commerce and stablecoins</w:t>
      </w:r>
      <w:r>
        <w:rPr>
          <w:rFonts w:ascii="Calibri" w:hAnsi="Calibri"/>
          <w:color w:val="525866"/>
          <w:sz w:val="22"/>
        </w:rPr>
        <w:t xml:space="preserve"> framed as "net new addressable markets" — both companies are aligned on the long-term opportunity, reducing risk of competitive disruption.</w:t>
      </w:r>
    </w:p>
    <w:p>
      <w:pPr>
        <w:pStyle w:val="Heading3"/>
      </w:pPr>
      <w:r>
        <w:rPr>
          <w:rFonts w:ascii="Calibri" w:hAnsi="Calibri"/>
          <w:b/>
          <w:color w:val="3B4259"/>
          <w:sz w:val="24"/>
        </w:rPr>
        <w:t>Mastercard (MA) — RBC Capital Markets FinTech Conference, June 9, 2026</w:t>
      </w:r>
    </w:p>
    <w:p>
      <w:r>
        <w:rPr>
          <w:rFonts w:ascii="Calibri" w:hAnsi="Calibri"/>
          <w:b/>
          <w:color w:val="525866"/>
          <w:sz w:val="22"/>
        </w:rPr>
        <w:t xml:space="preserve">Read-Through: </w:t>
      </w:r>
      <w:r>
        <w:rPr>
          <w:rFonts w:ascii="Calibri" w:hAnsi="Calibri"/>
          <w:color w:val="525866"/>
          <w:sz w:val="22"/>
        </w:rPr>
        <w:t>Positive for Visa's secular growth narrative and cross-border opportunity.</w:t>
      </w:r>
    </w:p>
    <w:p>
      <w:pPr>
        <w:pStyle w:val="ListBullet"/>
        <w:ind w:left="360" w:hanging="360"/>
      </w:pPr>
      <w:r>
        <w:rPr>
          <w:rFonts w:ascii="Calibri" w:hAnsi="Calibri"/>
          <w:b/>
          <w:color w:val="525866"/>
          <w:sz w:val="22"/>
        </w:rPr>
        <w:t>Secular digitization "very healthy, very positive and continues, with a long runway"</w:t>
      </w:r>
      <w:r>
        <w:rPr>
          <w:rFonts w:ascii="Calibri" w:hAnsi="Calibri"/>
          <w:color w:val="525866"/>
          <w:sz w:val="22"/>
        </w:rPr>
        <w:t xml:space="preserve"> — even in a difficult macro environment, Mastercard's secular growth is "very robust." Directly supports Visa's cash displacement and share gain narrative.</w:t>
      </w:r>
    </w:p>
    <w:p>
      <w:pPr>
        <w:pStyle w:val="ListBullet"/>
        <w:ind w:left="360" w:hanging="360"/>
      </w:pPr>
      <w:r>
        <w:rPr>
          <w:rFonts w:ascii="Calibri" w:hAnsi="Calibri"/>
          <w:b/>
          <w:color w:val="525866"/>
          <w:sz w:val="22"/>
        </w:rPr>
        <w:t>Agentic commerce expected to "splice" single transactions into multiple</w:t>
      </w:r>
      <w:r>
        <w:rPr>
          <w:rFonts w:ascii="Calibri" w:hAnsi="Calibri"/>
          <w:color w:val="525866"/>
          <w:sz w:val="22"/>
        </w:rPr>
        <w:t>, creating transaction expansion opportunity — Mastercard plans to unveil its machine-to-machine payment system (June 10), validating Visa's Intelligent Commerce Connect launch.</w:t>
      </w:r>
    </w:p>
    <w:p>
      <w:pPr>
        <w:pStyle w:val="ListBullet"/>
        <w:ind w:left="360" w:hanging="360"/>
      </w:pPr>
      <w:r>
        <w:rPr>
          <w:rFonts w:ascii="Calibri" w:hAnsi="Calibri"/>
          <w:b/>
          <w:color w:val="525866"/>
          <w:sz w:val="22"/>
        </w:rPr>
        <w:t>Stablecoins highlighted for cross-border remittances and B2B accounts payable</w:t>
      </w:r>
      <w:r>
        <w:rPr>
          <w:rFonts w:ascii="Calibri" w:hAnsi="Calibri"/>
          <w:color w:val="525866"/>
          <w:sz w:val="22"/>
        </w:rPr>
        <w:t xml:space="preserve"> as "new addressable SAM" — both networks are building stablecoin infrastructure, suggesting the opportunity is real and growing.</w:t>
      </w:r>
    </w:p>
    <w:p>
      <w:pPr>
        <w:pStyle w:val="ListBullet"/>
        <w:ind w:left="360" w:hanging="360"/>
      </w:pPr>
      <w:r>
        <w:rPr>
          <w:rFonts w:ascii="Calibri" w:hAnsi="Calibri"/>
          <w:b/>
          <w:color w:val="525866"/>
          <w:sz w:val="22"/>
        </w:rPr>
        <w:t>Geopolitical headwinds "usually relatively short-lived"</w:t>
      </w:r>
      <w:r>
        <w:rPr>
          <w:rFonts w:ascii="Calibri" w:hAnsi="Calibri"/>
          <w:color w:val="525866"/>
          <w:sz w:val="22"/>
        </w:rPr>
        <w:t xml:space="preserve"> — Mastercard's geographic diversification dampens cyclical impacts, same dynamic applies to Visa.</w:t>
      </w:r>
    </w:p>
    <w:p>
      <w:pPr>
        <w:pStyle w:val="Heading3"/>
      </w:pPr>
      <w:r>
        <w:rPr>
          <w:rFonts w:ascii="Calibri" w:hAnsi="Calibri"/>
          <w:b/>
          <w:color w:val="3B4259"/>
          <w:sz w:val="24"/>
        </w:rPr>
        <w:t>American Express (AXP) — Q2 2026 Earnings Call, July 24, 2026</w:t>
      </w:r>
    </w:p>
    <w:p>
      <w:r>
        <w:rPr>
          <w:rFonts w:ascii="Calibri" w:hAnsi="Calibri"/>
          <w:b/>
          <w:color w:val="525866"/>
          <w:sz w:val="22"/>
        </w:rPr>
        <w:t xml:space="preserve">Read-Through: </w:t>
      </w:r>
      <w:r>
        <w:rPr>
          <w:rFonts w:ascii="Calibri" w:hAnsi="Calibri"/>
          <w:color w:val="525866"/>
          <w:sz w:val="22"/>
        </w:rPr>
        <w:t>Strong positive for Visa's Q3 consumer spending and cross-border volumes.</w:t>
      </w:r>
    </w:p>
    <w:p>
      <w:pPr>
        <w:pStyle w:val="ListBullet"/>
        <w:ind w:left="360" w:hanging="360"/>
      </w:pPr>
      <w:r>
        <w:rPr>
          <w:rFonts w:ascii="Calibri" w:hAnsi="Calibri"/>
          <w:b/>
          <w:color w:val="525866"/>
          <w:sz w:val="22"/>
        </w:rPr>
        <w:t>Overall FX-adjusted spend +9.4% in Q2 (April–June 2026)</w:t>
      </w:r>
      <w:r>
        <w:rPr>
          <w:rFonts w:ascii="Calibri" w:hAnsi="Calibri"/>
          <w:color w:val="525866"/>
          <w:sz w:val="22"/>
        </w:rPr>
        <w:t>, nearly 1pp higher than Q1 — the highest spend growth in three years. This is the most direct and timely read-through for Visa's Q3 volume trends.</w:t>
      </w:r>
    </w:p>
    <w:p>
      <w:pPr>
        <w:pStyle w:val="ListBullet"/>
        <w:ind w:left="360" w:hanging="360"/>
      </w:pPr>
      <w:r>
        <w:rPr>
          <w:rFonts w:ascii="Calibri" w:hAnsi="Calibri"/>
          <w:b/>
          <w:color w:val="525866"/>
          <w:sz w:val="22"/>
        </w:rPr>
        <w:t>U.S. consumer spending +11% FX-adjusted</w:t>
      </w:r>
      <w:r>
        <w:rPr>
          <w:rFonts w:ascii="Calibri" w:hAnsi="Calibri"/>
          <w:color w:val="525866"/>
          <w:sz w:val="22"/>
        </w:rPr>
        <w:t xml:space="preserve"> — highest since Q1 2018 (ex-pandemic). Broad-based across goods/services (+9%), T&amp;E (+10%), retail (+13%), restaurants (+10%), and online (+10%).</w:t>
      </w:r>
    </w:p>
    <w:p>
      <w:pPr>
        <w:pStyle w:val="ListBullet"/>
        <w:ind w:left="360" w:hanging="360"/>
      </w:pPr>
      <w:r>
        <w:rPr>
          <w:rFonts w:ascii="Calibri" w:hAnsi="Calibri"/>
          <w:b/>
          <w:color w:val="525866"/>
          <w:sz w:val="22"/>
        </w:rPr>
        <w:t>International spend +12% FX-adjusted</w:t>
      </w:r>
      <w:r>
        <w:rPr>
          <w:rFonts w:ascii="Calibri" w:hAnsi="Calibri"/>
          <w:color w:val="525866"/>
          <w:sz w:val="22"/>
        </w:rPr>
        <w:t>, broad-based across consumer and business customers with four of top five countries in double-digit growth — directly positive for Visa's cross-border volume and international transaction revenue.</w:t>
      </w:r>
    </w:p>
    <w:p>
      <w:pPr>
        <w:pStyle w:val="ListBullet"/>
        <w:ind w:left="360" w:hanging="360"/>
      </w:pPr>
      <w:r>
        <w:rPr>
          <w:rFonts w:ascii="Calibri" w:hAnsi="Calibri"/>
          <w:b/>
          <w:color w:val="525866"/>
          <w:sz w:val="22"/>
        </w:rPr>
        <w:t>Global travel bookings +22% YoY</w:t>
      </w:r>
      <w:r>
        <w:rPr>
          <w:rFonts w:ascii="Calibri" w:hAnsi="Calibri"/>
          <w:color w:val="525866"/>
          <w:sz w:val="22"/>
        </w:rPr>
        <w:t>; airline spending +10% (highest in six quarters) — strong travel read-through for Visa's cross-border travel volumes.</w:t>
      </w:r>
    </w:p>
    <w:p>
      <w:pPr>
        <w:pStyle w:val="ListBullet"/>
        <w:ind w:left="360" w:hanging="360"/>
      </w:pPr>
      <w:r>
        <w:rPr>
          <w:rFonts w:ascii="Calibri" w:hAnsi="Calibri"/>
          <w:b/>
          <w:color w:val="525866"/>
          <w:sz w:val="22"/>
        </w:rPr>
        <w:t>Commercial spending +5%</w:t>
      </w:r>
      <w:r>
        <w:rPr>
          <w:rFonts w:ascii="Calibri" w:hAnsi="Calibri"/>
          <w:color w:val="525866"/>
          <w:sz w:val="22"/>
        </w:rPr>
        <w:t xml:space="preserve"> with both SME and large global customers growing at the same rate — positive for Visa's commercial payments volume acceleration.</w:t>
      </w:r>
    </w:p>
    <w:p>
      <w:pPr>
        <w:pStyle w:val="ListBullet"/>
        <w:ind w:left="360" w:hanging="360"/>
      </w:pPr>
      <w:r>
        <w:rPr>
          <w:rFonts w:ascii="Calibri" w:hAnsi="Calibri"/>
          <w:b/>
          <w:color w:val="525866"/>
          <w:sz w:val="22"/>
        </w:rPr>
        <w:t>Credit quality remains pristine</w:t>
      </w:r>
      <w:r>
        <w:rPr>
          <w:rFonts w:ascii="Calibri" w:hAnsi="Calibri"/>
          <w:color w:val="525866"/>
          <w:sz w:val="22"/>
        </w:rPr>
        <w:t>: delinquency and write-off rates below 2019 levels, reserve release of $191M — no consumer stress signal that would threaten spending trends.</w:t>
      </w:r>
    </w:p>
    <w:p>
      <w:pPr>
        <w:pStyle w:val="ListBullet"/>
        <w:ind w:left="360" w:hanging="360"/>
      </w:pPr>
      <w:r>
        <w:rPr>
          <w:rFonts w:ascii="Calibri" w:hAnsi="Calibri"/>
          <w:b/>
          <w:color w:val="525866"/>
          <w:sz w:val="22"/>
        </w:rPr>
        <w:t>Management expressed confidence in H2 momentum</w:t>
      </w:r>
      <w:r>
        <w:rPr>
          <w:rFonts w:ascii="Calibri" w:hAnsi="Calibri"/>
          <w:color w:val="525866"/>
          <w:sz w:val="22"/>
        </w:rPr>
        <w:t>, expecting card fee growth to accelerate in Q3 and exit the year in the high teens — no macro deterioration signal.</w:t>
      </w:r>
    </w:p>
    <w:p>
      <w:pPr>
        <w:pStyle w:val="Heading3"/>
      </w:pPr>
      <w:r>
        <w:rPr>
          <w:rFonts w:ascii="Calibri" w:hAnsi="Calibri"/>
          <w:b/>
          <w:color w:val="3B4259"/>
          <w:sz w:val="24"/>
        </w:rPr>
        <w:t>American Express (AXP) — Bernstein Conference, May 28, 2026</w:t>
      </w:r>
    </w:p>
    <w:p>
      <w:r>
        <w:rPr>
          <w:rFonts w:ascii="Calibri" w:hAnsi="Calibri"/>
          <w:b/>
          <w:color w:val="525866"/>
          <w:sz w:val="22"/>
        </w:rPr>
        <w:t xml:space="preserve">Read-Through: </w:t>
      </w:r>
      <w:r>
        <w:rPr>
          <w:rFonts w:ascii="Calibri" w:hAnsi="Calibri"/>
          <w:color w:val="525866"/>
          <w:sz w:val="22"/>
        </w:rPr>
        <w:t>Positive for Visa's consumer and travel spending trends.</w:t>
      </w:r>
    </w:p>
    <w:p>
      <w:pPr>
        <w:pStyle w:val="ListBullet"/>
        <w:ind w:left="360" w:hanging="360"/>
      </w:pPr>
      <w:r>
        <w:rPr>
          <w:rFonts w:ascii="Calibri" w:hAnsi="Calibri"/>
          <w:b/>
          <w:color w:val="525866"/>
          <w:sz w:val="22"/>
        </w:rPr>
        <w:t>Q2 quarter-to-date spending "slightly ahead of Q1"</w:t>
      </w:r>
      <w:r>
        <w:rPr>
          <w:rFonts w:ascii="Calibri" w:hAnsi="Calibri"/>
          <w:color w:val="525866"/>
          <w:sz w:val="22"/>
        </w:rPr>
        <w:t xml:space="preserve"> as of late May — consistent with Visa's own mid-May update showing improvement across all metrics.</w:t>
      </w:r>
    </w:p>
    <w:p>
      <w:pPr>
        <w:pStyle w:val="ListBullet"/>
        <w:ind w:left="360" w:hanging="360"/>
      </w:pPr>
      <w:r>
        <w:rPr>
          <w:rFonts w:ascii="Calibri" w:hAnsi="Calibri"/>
          <w:b/>
          <w:color w:val="525866"/>
          <w:sz w:val="22"/>
        </w:rPr>
        <w:t>Airline spending +9% in April</w:t>
      </w:r>
      <w:r>
        <w:rPr>
          <w:rFonts w:ascii="Calibri" w:hAnsi="Calibri"/>
          <w:color w:val="525866"/>
          <w:sz w:val="22"/>
        </w:rPr>
        <w:t xml:space="preserve"> after Q1 concerns — travel recovery is intact and accelerating, positive for Visa's cross-border travel volumes.</w:t>
      </w:r>
    </w:p>
    <w:p>
      <w:pPr>
        <w:pStyle w:val="ListBullet"/>
        <w:ind w:left="360" w:hanging="360"/>
      </w:pPr>
      <w:r>
        <w:rPr>
          <w:rFonts w:ascii="Calibri" w:hAnsi="Calibri"/>
          <w:b/>
          <w:color w:val="525866"/>
          <w:sz w:val="22"/>
        </w:rPr>
        <w:t>Record travel bookings in Q1</w:t>
      </w:r>
      <w:r>
        <w:rPr>
          <w:rFonts w:ascii="Calibri" w:hAnsi="Calibri"/>
          <w:color w:val="525866"/>
          <w:sz w:val="22"/>
        </w:rPr>
        <w:t>; consumer described as "healthy" and "resilient" — consistent across all three major networks.</w:t>
      </w:r>
    </w:p>
    <w:p>
      <w:pPr>
        <w:pStyle w:val="ListBullet"/>
        <w:ind w:left="360" w:hanging="360"/>
      </w:pPr>
      <w:r>
        <w:rPr>
          <w:rFonts w:ascii="Calibri" w:hAnsi="Calibri"/>
          <w:b/>
          <w:color w:val="525866"/>
          <w:sz w:val="22"/>
        </w:rPr>
        <w:t>Delinquencies "9 out of last 10 quarters at 1.3%"</w:t>
      </w:r>
      <w:r>
        <w:rPr>
          <w:rFonts w:ascii="Calibri" w:hAnsi="Calibri"/>
          <w:color w:val="525866"/>
          <w:sz w:val="22"/>
        </w:rPr>
        <w:t xml:space="preserve"> — no credit deterioration signal that would presage a spending slowdown.</w:t>
      </w:r>
    </w:p>
    <w:p>
      <w:pPr>
        <w:pStyle w:val="ListBullet"/>
        <w:ind w:left="360" w:hanging="360"/>
      </w:pPr>
      <w:r>
        <w:rPr>
          <w:rFonts w:ascii="Calibri" w:hAnsi="Calibri"/>
          <w:b/>
          <w:color w:val="525866"/>
          <w:sz w:val="22"/>
        </w:rPr>
        <w:t>International growth expected to continue double-digits "a long time"</w:t>
      </w:r>
      <w:r>
        <w:rPr>
          <w:rFonts w:ascii="Calibri" w:hAnsi="Calibri"/>
          <w:color w:val="525866"/>
          <w:sz w:val="22"/>
        </w:rPr>
        <w:t xml:space="preserve"> given only ~6% market share in key international markets — validates Visa's international growth runway.</w:t>
      </w:r>
    </w:p>
    <w:p>
      <w:pPr>
        <w:pStyle w:val="Heading3"/>
      </w:pPr>
      <w:r>
        <w:rPr>
          <w:rFonts w:ascii="Calibri" w:hAnsi="Calibri"/>
          <w:b/>
          <w:color w:val="3B4259"/>
          <w:sz w:val="24"/>
        </w:rPr>
        <w:t>Capital One (COF) — Q2 2026 Earnings Call, July 21, 2026</w:t>
      </w:r>
    </w:p>
    <w:p>
      <w:r>
        <w:rPr>
          <w:rFonts w:ascii="Calibri" w:hAnsi="Calibri"/>
          <w:b/>
          <w:color w:val="525866"/>
          <w:sz w:val="22"/>
        </w:rPr>
        <w:t xml:space="preserve">Read-Through: </w:t>
      </w:r>
      <w:r>
        <w:rPr>
          <w:rFonts w:ascii="Calibri" w:hAnsi="Calibri"/>
          <w:color w:val="525866"/>
          <w:sz w:val="22"/>
        </w:rPr>
        <w:t>Positive for Visa's U.S. consumer spending and credit quality backdrop.</w:t>
      </w:r>
    </w:p>
    <w:p>
      <w:pPr>
        <w:pStyle w:val="ListBullet"/>
        <w:ind w:left="360" w:hanging="360"/>
      </w:pPr>
      <w:r>
        <w:rPr>
          <w:rFonts w:ascii="Calibri" w:hAnsi="Calibri"/>
          <w:b/>
          <w:color w:val="525866"/>
          <w:sz w:val="22"/>
        </w:rPr>
        <w:t>U.S. consumer and economy "remained resilient"</w:t>
      </w:r>
      <w:r>
        <w:rPr>
          <w:rFonts w:ascii="Calibri" w:hAnsi="Calibri"/>
          <w:color w:val="525866"/>
          <w:sz w:val="22"/>
        </w:rPr>
        <w:t xml:space="preserve"> despite high energy prices; unemployment in June 2026 lower than in February 2026; job creation rebounded over the past few months.</w:t>
      </w:r>
    </w:p>
    <w:p>
      <w:pPr>
        <w:pStyle w:val="ListBullet"/>
        <w:ind w:left="360" w:hanging="360"/>
      </w:pPr>
      <w:r>
        <w:rPr>
          <w:rFonts w:ascii="Calibri" w:hAnsi="Calibri"/>
          <w:b/>
          <w:color w:val="525866"/>
          <w:sz w:val="22"/>
        </w:rPr>
        <w:t>Consumer spending "remained strong"</w:t>
      </w:r>
      <w:r>
        <w:rPr>
          <w:rFonts w:ascii="Calibri" w:hAnsi="Calibri"/>
          <w:color w:val="525866"/>
          <w:sz w:val="22"/>
        </w:rPr>
        <w:t>; real wage growth returned to positive in June after brief negative dip in April/May due to inflation — no structural consumer stress.</w:t>
      </w:r>
    </w:p>
    <w:p>
      <w:pPr>
        <w:pStyle w:val="ListBullet"/>
        <w:ind w:left="360" w:hanging="360"/>
      </w:pPr>
      <w:r>
        <w:rPr>
          <w:rFonts w:ascii="Calibri" w:hAnsi="Calibri"/>
          <w:b/>
          <w:color w:val="525866"/>
          <w:sz w:val="22"/>
        </w:rPr>
        <w:t>Bank balances and debt servicing burdens "stronger than a year ago across all income levels"</w:t>
      </w:r>
      <w:r>
        <w:rPr>
          <w:rFonts w:ascii="Calibri" w:hAnsi="Calibri"/>
          <w:color w:val="525866"/>
          <w:sz w:val="22"/>
        </w:rPr>
        <w:t xml:space="preserve"> — consumer balance sheet health intact, supportive of continued spending.</w:t>
      </w:r>
    </w:p>
    <w:p>
      <w:pPr>
        <w:pStyle w:val="ListBullet"/>
        <w:ind w:left="360" w:hanging="360"/>
      </w:pPr>
      <w:r>
        <w:rPr>
          <w:rFonts w:ascii="Calibri" w:hAnsi="Calibri"/>
          <w:b/>
          <w:color w:val="525866"/>
          <w:sz w:val="22"/>
        </w:rPr>
        <w:t>Domestic card charge-off rate 4.71%</w:t>
      </w:r>
      <w:r>
        <w:rPr>
          <w:rFonts w:ascii="Calibri" w:hAnsi="Calibri"/>
          <w:color w:val="525866"/>
          <w:sz w:val="22"/>
        </w:rPr>
        <w:t>, down 39bps QoQ and 54bps YoY; delinquency rate 3.39%, down 31bps QoQ — credit improvement trend intact.</w:t>
      </w:r>
    </w:p>
    <w:p>
      <w:pPr>
        <w:pStyle w:val="ListBullet"/>
        <w:ind w:left="360" w:hanging="360"/>
      </w:pPr>
      <w:r>
        <w:rPr>
          <w:rFonts w:ascii="Calibri" w:hAnsi="Calibri"/>
          <w:b/>
          <w:color w:val="525866"/>
          <w:sz w:val="22"/>
        </w:rPr>
        <w:t>Legacy Capital One purchase volume +14% YoY</w:t>
      </w:r>
      <w:r>
        <w:rPr>
          <w:rFonts w:ascii="Calibri" w:hAnsi="Calibri"/>
          <w:color w:val="525866"/>
          <w:sz w:val="22"/>
        </w:rPr>
        <w:t xml:space="preserve"> (organic) — strong underlying spend growth consistent with Visa's payments volume trends.</w:t>
      </w:r>
    </w:p>
    <w:p>
      <w:pPr>
        <w:pStyle w:val="Heading3"/>
      </w:pPr>
      <w:r>
        <w:rPr>
          <w:rFonts w:ascii="Calibri" w:hAnsi="Calibri"/>
          <w:b/>
          <w:color w:val="3B4259"/>
          <w:sz w:val="24"/>
        </w:rPr>
        <w:t>Capital One (COF) — Morgan Stanley U.S. Financials Conference, June 9, 2026</w:t>
      </w:r>
    </w:p>
    <w:p>
      <w:r>
        <w:rPr>
          <w:rFonts w:ascii="Calibri" w:hAnsi="Calibri"/>
          <w:b/>
          <w:color w:val="525866"/>
          <w:sz w:val="22"/>
        </w:rPr>
        <w:t xml:space="preserve">Read-Through: </w:t>
      </w:r>
      <w:r>
        <w:rPr>
          <w:rFonts w:ascii="Calibri" w:hAnsi="Calibri"/>
          <w:color w:val="525866"/>
          <w:sz w:val="22"/>
        </w:rPr>
        <w:t>Positive for Visa's consumer spending backdrop heading into Q3.</w:t>
      </w:r>
    </w:p>
    <w:p>
      <w:pPr>
        <w:pStyle w:val="ListBullet"/>
        <w:ind w:left="360" w:hanging="360"/>
      </w:pPr>
      <w:r>
        <w:rPr>
          <w:rFonts w:ascii="Calibri" w:hAnsi="Calibri"/>
          <w:b/>
          <w:color w:val="525866"/>
          <w:sz w:val="22"/>
        </w:rPr>
        <w:t>Consumer outlook "really quite positive"</w:t>
      </w:r>
      <w:r>
        <w:rPr>
          <w:rFonts w:ascii="Calibri" w:hAnsi="Calibri"/>
          <w:color w:val="525866"/>
          <w:sz w:val="22"/>
        </w:rPr>
        <w:t xml:space="preserve"> when looking at data rather than headlines: unemployment strong, new job creation surprising economists, unemployment claims lower than a year ago.</w:t>
      </w:r>
    </w:p>
    <w:p>
      <w:pPr>
        <w:pStyle w:val="ListBullet"/>
        <w:ind w:left="360" w:hanging="360"/>
      </w:pPr>
      <w:r>
        <w:rPr>
          <w:rFonts w:ascii="Calibri" w:hAnsi="Calibri"/>
          <w:b/>
          <w:color w:val="525866"/>
          <w:sz w:val="22"/>
        </w:rPr>
        <w:t>Consumer "continues to spend at pretty high levels"</w:t>
      </w:r>
      <w:r>
        <w:rPr>
          <w:rFonts w:ascii="Calibri" w:hAnsi="Calibri"/>
          <w:color w:val="525866"/>
          <w:sz w:val="22"/>
        </w:rPr>
        <w:t>; debt servicing burden "consistent with pre-pandemic" — no structural headwind to Visa's volume growth.</w:t>
      </w:r>
    </w:p>
    <w:p>
      <w:pPr>
        <w:pStyle w:val="ListBullet"/>
        <w:ind w:left="360" w:hanging="360"/>
      </w:pPr>
      <w:r>
        <w:rPr>
          <w:rFonts w:ascii="Calibri" w:hAnsi="Calibri"/>
          <w:b/>
          <w:color w:val="525866"/>
          <w:sz w:val="22"/>
        </w:rPr>
        <w:t>Credit "settled out and maybe coming in a little bit better than seasonality"</w:t>
      </w:r>
      <w:r>
        <w:rPr>
          <w:rFonts w:ascii="Calibri" w:hAnsi="Calibri"/>
          <w:color w:val="525866"/>
          <w:sz w:val="22"/>
        </w:rPr>
        <w:t xml:space="preserve"> for the whole industry — positive signal for consumer financial health.</w:t>
      </w:r>
    </w:p>
    <w:p>
      <w:pPr>
        <w:pStyle w:val="ListBullet"/>
        <w:ind w:left="360" w:hanging="360"/>
      </w:pPr>
      <w:r>
        <w:rPr>
          <w:rFonts w:ascii="Calibri" w:hAnsi="Calibri"/>
          <w:b/>
          <w:color w:val="525866"/>
          <w:sz w:val="22"/>
        </w:rPr>
        <w:t>Inflation (oil prices) flagged as the key watch item</w:t>
      </w:r>
      <w:r>
        <w:rPr>
          <w:rFonts w:ascii="Calibri" w:hAnsi="Calibri"/>
          <w:color w:val="525866"/>
          <w:sz w:val="22"/>
        </w:rPr>
        <w:t xml:space="preserve"> — the one risk that could pressure consumer spending, consistent with Visa's macro assumption of "broader consumer spend stability."</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Source / Date</w:t>
            </w:r>
          </w:p>
        </w:tc>
        <w:tc>
          <w:tcPr>
            <w:tcW w:type="dxa" w:w="2160"/>
            <w:shd w:val="clear" w:color="auto" w:fill="3B4259"/>
          </w:tcPr>
          <w:p>
            <w:r>
              <w:rPr>
                <w:rFonts w:ascii="Calibri" w:hAnsi="Calibri"/>
                <w:b/>
                <w:color w:val="FFFFFF"/>
                <w:sz w:val="22"/>
              </w:rPr>
              <w:t>Key Signal for Visa</w:t>
            </w:r>
          </w:p>
        </w:tc>
        <w:tc>
          <w:tcPr>
            <w:tcW w:type="dxa" w:w="2160"/>
            <w:shd w:val="clear" w:color="auto" w:fill="3B4259"/>
          </w:tcPr>
          <w:p>
            <w:r>
              <w:rPr>
                <w:rFonts w:ascii="Calibri" w:hAnsi="Calibri"/>
                <w:b/>
                <w:color w:val="FFFFFF"/>
                <w:sz w:val="22"/>
              </w:rPr>
              <w:t>Read-Through</w:t>
            </w:r>
          </w:p>
        </w:tc>
      </w:tr>
      <w:tr>
        <w:tc>
          <w:tcPr>
            <w:tcW w:type="dxa" w:w="2160"/>
          </w:tcPr>
          <w:p>
            <w:r>
              <w:rPr>
                <w:rFonts w:ascii="Calibri" w:hAnsi="Calibri"/>
                <w:sz w:val="22"/>
              </w:rPr>
              <w:t>Mastercard (MA)</w:t>
            </w:r>
          </w:p>
        </w:tc>
        <w:tc>
          <w:tcPr>
            <w:tcW w:type="dxa" w:w="2160"/>
          </w:tcPr>
          <w:p>
            <w:r>
              <w:rPr>
                <w:rFonts w:ascii="Calibri" w:hAnsi="Calibri"/>
                <w:sz w:val="22"/>
              </w:rPr>
              <w:t>Bernstein, May 28</w:t>
            </w:r>
          </w:p>
        </w:tc>
        <w:tc>
          <w:tcPr>
            <w:tcW w:type="dxa" w:w="2160"/>
          </w:tcPr>
          <w:p>
            <w:r>
              <w:rPr>
                <w:rFonts w:ascii="Calibri" w:hAnsi="Calibri"/>
                <w:sz w:val="22"/>
              </w:rPr>
              <w:t>Consumer spending "stable to slightly better" through mid-May; macro "supportive"; VAS 40% of revenue growing faster</w:t>
            </w:r>
          </w:p>
        </w:tc>
        <w:tc>
          <w:tcPr>
            <w:tcW w:type="dxa" w:w="2160"/>
          </w:tcPr>
          <w:p>
            <w:r>
              <w:rPr>
                <w:rFonts w:ascii="Calibri" w:hAnsi="Calibri"/>
                <w:b/>
                <w:color w:val="30A46C"/>
                <w:sz w:val="22"/>
              </w:rPr>
              <w:t>Positive</w:t>
            </w:r>
          </w:p>
        </w:tc>
      </w:tr>
      <w:tr>
        <w:tc>
          <w:tcPr>
            <w:tcW w:type="dxa" w:w="2160"/>
          </w:tcPr>
          <w:p>
            <w:r>
              <w:rPr>
                <w:rFonts w:ascii="Calibri" w:hAnsi="Calibri"/>
                <w:sz w:val="22"/>
              </w:rPr>
              <w:t>Mastercard (MA)</w:t>
            </w:r>
          </w:p>
        </w:tc>
        <w:tc>
          <w:tcPr>
            <w:tcW w:type="dxa" w:w="2160"/>
          </w:tcPr>
          <w:p>
            <w:r>
              <w:rPr>
                <w:rFonts w:ascii="Calibri" w:hAnsi="Calibri"/>
                <w:sz w:val="22"/>
              </w:rPr>
              <w:t>RBC FinTech, Jun 9</w:t>
            </w:r>
          </w:p>
        </w:tc>
        <w:tc>
          <w:tcPr>
            <w:tcW w:type="dxa" w:w="2160"/>
          </w:tcPr>
          <w:p>
            <w:r>
              <w:rPr>
                <w:rFonts w:ascii="Calibri" w:hAnsi="Calibri"/>
                <w:sz w:val="22"/>
              </w:rPr>
              <w:t>Secular digitization "very robust"; agentic commerce = transaction expansion; stablecoins = new SAM</w:t>
            </w:r>
          </w:p>
        </w:tc>
        <w:tc>
          <w:tcPr>
            <w:tcW w:type="dxa" w:w="2160"/>
          </w:tcPr>
          <w:p>
            <w:r>
              <w:rPr>
                <w:rFonts w:ascii="Calibri" w:hAnsi="Calibri"/>
                <w:b/>
                <w:color w:val="30A46C"/>
                <w:sz w:val="22"/>
              </w:rPr>
              <w:t>Positive</w:t>
            </w:r>
          </w:p>
        </w:tc>
      </w:tr>
      <w:tr>
        <w:tc>
          <w:tcPr>
            <w:tcW w:type="dxa" w:w="2160"/>
          </w:tcPr>
          <w:p>
            <w:r>
              <w:rPr>
                <w:rFonts w:ascii="Calibri" w:hAnsi="Calibri"/>
                <w:sz w:val="22"/>
              </w:rPr>
              <w:t>American Express (AXP)</w:t>
            </w:r>
          </w:p>
        </w:tc>
        <w:tc>
          <w:tcPr>
            <w:tcW w:type="dxa" w:w="2160"/>
          </w:tcPr>
          <w:p>
            <w:r>
              <w:rPr>
                <w:rFonts w:ascii="Calibri" w:hAnsi="Calibri"/>
                <w:sz w:val="22"/>
              </w:rPr>
              <w:t>Q2 Earnings, Jul 24</w:t>
            </w:r>
          </w:p>
        </w:tc>
        <w:tc>
          <w:tcPr>
            <w:tcW w:type="dxa" w:w="2160"/>
          </w:tcPr>
          <w:p>
            <w:r>
              <w:rPr>
                <w:rFonts w:ascii="Calibri" w:hAnsi="Calibri"/>
                <w:sz w:val="22"/>
              </w:rPr>
              <w:t>FX-adj. spend +9.4% in Q2 (3-yr high); U.S. +11%; Intl +12%; travel bookings +22%; credit pristine</w:t>
            </w:r>
          </w:p>
        </w:tc>
        <w:tc>
          <w:tcPr>
            <w:tcW w:type="dxa" w:w="2160"/>
          </w:tcPr>
          <w:p>
            <w:r>
              <w:rPr>
                <w:rFonts w:ascii="Calibri" w:hAnsi="Calibri"/>
                <w:b/>
                <w:color w:val="30A46C"/>
                <w:sz w:val="22"/>
              </w:rPr>
              <w:t>Strong Positive</w:t>
            </w:r>
          </w:p>
        </w:tc>
      </w:tr>
      <w:tr>
        <w:tc>
          <w:tcPr>
            <w:tcW w:type="dxa" w:w="2160"/>
          </w:tcPr>
          <w:p>
            <w:r>
              <w:rPr>
                <w:rFonts w:ascii="Calibri" w:hAnsi="Calibri"/>
                <w:sz w:val="22"/>
              </w:rPr>
              <w:t>American Express (AXP)</w:t>
            </w:r>
          </w:p>
        </w:tc>
        <w:tc>
          <w:tcPr>
            <w:tcW w:type="dxa" w:w="2160"/>
          </w:tcPr>
          <w:p>
            <w:r>
              <w:rPr>
                <w:rFonts w:ascii="Calibri" w:hAnsi="Calibri"/>
                <w:sz w:val="22"/>
              </w:rPr>
              <w:t>Bernstein, May 28</w:t>
            </w:r>
          </w:p>
        </w:tc>
        <w:tc>
          <w:tcPr>
            <w:tcW w:type="dxa" w:w="2160"/>
          </w:tcPr>
          <w:p>
            <w:r>
              <w:rPr>
                <w:rFonts w:ascii="Calibri" w:hAnsi="Calibri"/>
                <w:sz w:val="22"/>
              </w:rPr>
              <w:t>Q2 QTD spending slightly ahead of Q1; airline +9% in April; consumer "healthy and resilient"</w:t>
            </w:r>
          </w:p>
        </w:tc>
        <w:tc>
          <w:tcPr>
            <w:tcW w:type="dxa" w:w="2160"/>
          </w:tcPr>
          <w:p>
            <w:r>
              <w:rPr>
                <w:rFonts w:ascii="Calibri" w:hAnsi="Calibri"/>
                <w:b/>
                <w:color w:val="30A46C"/>
                <w:sz w:val="22"/>
              </w:rPr>
              <w:t>Positive</w:t>
            </w:r>
          </w:p>
        </w:tc>
      </w:tr>
      <w:tr>
        <w:tc>
          <w:tcPr>
            <w:tcW w:type="dxa" w:w="2160"/>
          </w:tcPr>
          <w:p>
            <w:r>
              <w:rPr>
                <w:rFonts w:ascii="Calibri" w:hAnsi="Calibri"/>
                <w:sz w:val="22"/>
              </w:rPr>
              <w:t>Capital One (COF)</w:t>
            </w:r>
          </w:p>
        </w:tc>
        <w:tc>
          <w:tcPr>
            <w:tcW w:type="dxa" w:w="2160"/>
          </w:tcPr>
          <w:p>
            <w:r>
              <w:rPr>
                <w:rFonts w:ascii="Calibri" w:hAnsi="Calibri"/>
                <w:sz w:val="22"/>
              </w:rPr>
              <w:t>Q2 Earnings, Jul 21</w:t>
            </w:r>
          </w:p>
        </w:tc>
        <w:tc>
          <w:tcPr>
            <w:tcW w:type="dxa" w:w="2160"/>
          </w:tcPr>
          <w:p>
            <w:r>
              <w:rPr>
                <w:rFonts w:ascii="Calibri" w:hAnsi="Calibri"/>
                <w:sz w:val="22"/>
              </w:rPr>
              <w:t>Consumer resilient; purchase volume +14% organic; credit improving; bank balances stronger YoY</w:t>
            </w:r>
          </w:p>
        </w:tc>
        <w:tc>
          <w:tcPr>
            <w:tcW w:type="dxa" w:w="2160"/>
          </w:tcPr>
          <w:p>
            <w:r>
              <w:rPr>
                <w:rFonts w:ascii="Calibri" w:hAnsi="Calibri"/>
                <w:b/>
                <w:color w:val="30A46C"/>
                <w:sz w:val="22"/>
              </w:rPr>
              <w:t>Positive</w:t>
            </w:r>
          </w:p>
        </w:tc>
      </w:tr>
      <w:tr>
        <w:tc>
          <w:tcPr>
            <w:tcW w:type="dxa" w:w="2160"/>
          </w:tcPr>
          <w:p>
            <w:r>
              <w:rPr>
                <w:rFonts w:ascii="Calibri" w:hAnsi="Calibri"/>
                <w:sz w:val="22"/>
              </w:rPr>
              <w:t>Capital One (COF)</w:t>
            </w:r>
          </w:p>
        </w:tc>
        <w:tc>
          <w:tcPr>
            <w:tcW w:type="dxa" w:w="2160"/>
          </w:tcPr>
          <w:p>
            <w:r>
              <w:rPr>
                <w:rFonts w:ascii="Calibri" w:hAnsi="Calibri"/>
                <w:sz w:val="22"/>
              </w:rPr>
              <w:t>MS Financials, Jun 9</w:t>
            </w:r>
          </w:p>
        </w:tc>
        <w:tc>
          <w:tcPr>
            <w:tcW w:type="dxa" w:w="2160"/>
          </w:tcPr>
          <w:p>
            <w:r>
              <w:rPr>
                <w:rFonts w:ascii="Calibri" w:hAnsi="Calibri"/>
                <w:sz w:val="22"/>
              </w:rPr>
              <w:t>Consumer outlook "really quite positive"; spending at high levels; credit better than seasonality</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Q2 print is the </w:t>
      </w:r>
      <w:r>
        <w:rPr>
          <w:rFonts w:ascii="Calibri" w:hAnsi="Calibri"/>
          <w:b/>
          <w:color w:val="525866"/>
          <w:sz w:val="22"/>
        </w:rPr>
        <w:t>finalization of the $17.4B MDL litigation settlement</w:t>
      </w:r>
      <w:r>
        <w:rPr>
          <w:rFonts w:ascii="Calibri" w:hAnsi="Calibri"/>
          <w:color w:val="525866"/>
          <w:sz w:val="22"/>
        </w:rPr>
        <w:t xml:space="preserve"> (stock exchange completed May 11, escrow funded June 26), which materially reduces the single largest overhang on the stock; combined with the FIFA World Cup tailwind and the €500M Europe investment, the news flow has been net positive for the Q3 setup.</w:t>
      </w:r>
    </w:p>
    <w:p>
      <w:pPr>
        <w:pStyle w:val="ListBullet"/>
        <w:ind w:left="360" w:hanging="360"/>
      </w:pPr>
      <w:r>
        <w:rPr>
          <w:rFonts w:ascii="Calibri" w:hAnsi="Calibri"/>
          <w:b/>
          <w:color w:val="525866"/>
          <w:sz w:val="22"/>
        </w:rPr>
        <w:t>Apr 28, 2026 — Q2 FY2026 Earnings Beat &amp; Guidance Raise:</w:t>
      </w:r>
      <w:r>
        <w:rPr>
          <w:rFonts w:ascii="Calibri" w:hAnsi="Calibri"/>
          <w:color w:val="525866"/>
          <w:sz w:val="22"/>
        </w:rPr>
        <w:t xml:space="preserve"> Visa reported the largest revenue upside in several years (+4.5% vs. consensus), with EPS of $3.31 vs. $3.10 expected. Full-year revenue guidance raised to low double-digit to low teens; EPS guidance raised to low teens. Record quarterly share buyback executed. </w:t>
      </w:r>
    </w:p>
    <w:p>
      <w:pPr>
        <w:pStyle w:val="ListBullet"/>
        <w:ind w:left="360" w:hanging="360"/>
      </w:pPr>
      <w:r>
        <w:rPr>
          <w:rFonts w:ascii="Calibri" w:hAnsi="Calibri"/>
          <w:b/>
          <w:color w:val="525866"/>
          <w:sz w:val="22"/>
        </w:rPr>
        <w:t>May 11–12, 2026 — MDL Stock Exchange Finalized ($17.4B Litigation Settlement):</w:t>
      </w:r>
      <w:r>
        <w:rPr>
          <w:rFonts w:ascii="Calibri" w:hAnsi="Calibri"/>
          <w:color w:val="525866"/>
          <w:sz w:val="22"/>
        </w:rPr>
        <w:t xml:space="preserve"> Visa announced the expiration and results of the stock exchange offer tied to the $17.4B merchant discount rate litigation settlement. Class B conversion rates adjusted accordingly. </w:t>
      </w:r>
    </w:p>
    <w:p>
      <w:pPr>
        <w:pStyle w:val="ListBullet"/>
        <w:ind w:left="360" w:hanging="360"/>
      </w:pPr>
      <w:r>
        <w:rPr>
          <w:rFonts w:ascii="Calibri" w:hAnsi="Calibri"/>
          <w:b/>
          <w:color w:val="525866"/>
          <w:sz w:val="22"/>
        </w:rPr>
        <w:t>May 19, 2026 — JP Morgan TMT Conference:</w:t>
      </w:r>
      <w:r>
        <w:rPr>
          <w:rFonts w:ascii="Calibri" w:hAnsi="Calibri"/>
          <w:color w:val="525866"/>
          <w:sz w:val="22"/>
        </w:rPr>
        <w:t xml:space="preserve"> CEO McInerney described Q2 as "the best quarter of growth in over a decade" and provided intra-quarter update through May 14 showing all volume metrics (U.S. PV, processed transactions, cross-border travel and e-commerce) had improved from April 21 levels and returned to approximately February levels. Commercial PV growing at 11% YoY, up from high single digits a year ago.</w:t>
      </w:r>
    </w:p>
    <w:p>
      <w:pPr>
        <w:pStyle w:val="ListBullet"/>
        <w:ind w:left="360" w:hanging="360"/>
      </w:pPr>
      <w:r>
        <w:rPr>
          <w:rFonts w:ascii="Calibri" w:hAnsi="Calibri"/>
          <w:b/>
          <w:color w:val="525866"/>
          <w:sz w:val="22"/>
        </w:rPr>
        <w:t>May 27–28, 2026 — €500M Europe Investment Announced:</w:t>
      </w:r>
      <w:r>
        <w:rPr>
          <w:rFonts w:ascii="Calibri" w:hAnsi="Calibri"/>
          <w:color w:val="525866"/>
          <w:sz w:val="22"/>
        </w:rPr>
        <w:t xml:space="preserve"> Visa announced a €500M incremental investment in Europe over the next decade, including a new Eurozone-based data center for local processing of European payments, a new Frankfurt headquarters serving as the Eurozone branch office and home to a new European Innovation Centre, a new Technology and Solutions Centre in Warsaw (opening March 2027), and a new European Cyber Fusion Centre. Directly addresses European payments nationalism concerns. </w:t>
      </w:r>
    </w:p>
    <w:p>
      <w:pPr>
        <w:pStyle w:val="ListBullet"/>
        <w:ind w:left="360" w:hanging="360"/>
      </w:pPr>
      <w:r>
        <w:rPr>
          <w:rFonts w:ascii="Calibri" w:hAnsi="Calibri"/>
          <w:b/>
          <w:color w:val="525866"/>
          <w:sz w:val="22"/>
        </w:rPr>
        <w:t>May 28, 2026 — Bernstein Conference:</w:t>
      </w:r>
      <w:r>
        <w:rPr>
          <w:rFonts w:ascii="Calibri" w:hAnsi="Calibri"/>
          <w:color w:val="525866"/>
          <w:sz w:val="22"/>
        </w:rPr>
        <w:t xml:space="preserve"> CEO McInerney confirmed spending trends continued to show "slight improvement" through the conference date (extending the positive mid-May update). Stablecoin-linked Visa cards described as potentially "the single best product market fit for stablecoins globally" — notably stronger framing than prior quarters.</w:t>
      </w:r>
    </w:p>
    <w:p>
      <w:pPr>
        <w:pStyle w:val="ListBullet"/>
        <w:ind w:left="360" w:hanging="360"/>
      </w:pPr>
      <w:r>
        <w:rPr>
          <w:rFonts w:ascii="Calibri" w:hAnsi="Calibri"/>
          <w:b/>
          <w:color w:val="525866"/>
          <w:sz w:val="22"/>
        </w:rPr>
        <w:t>Jun 3, 2026 — Baird Conference (CMS Division):</w:t>
      </w:r>
      <w:r>
        <w:rPr>
          <w:rFonts w:ascii="Calibri" w:hAnsi="Calibri"/>
          <w:color w:val="525866"/>
          <w:sz w:val="22"/>
        </w:rPr>
        <w:t xml:space="preserve"> CMS division president detailed the $200T TAM opportunity in B2B payments and money movement. Visa Direct processed 12.5B transactions last year (up from 1.6B a few years ago). Trip.com TripLink win and expanded Checkout.com deal cited as recent commercial wins. Pismo cited as accelerant for Visa Commercial Solutions.</w:t>
      </w:r>
    </w:p>
    <w:p>
      <w:pPr>
        <w:pStyle w:val="ListBullet"/>
        <w:ind w:left="360" w:hanging="360"/>
      </w:pPr>
      <w:r>
        <w:rPr>
          <w:rFonts w:ascii="Calibri" w:hAnsi="Calibri"/>
          <w:b/>
          <w:color w:val="525866"/>
          <w:sz w:val="22"/>
        </w:rPr>
        <w:t>Jun 26, 2026 — Litigation Escrow Funded:</w:t>
      </w:r>
      <w:r>
        <w:rPr>
          <w:rFonts w:ascii="Calibri" w:hAnsi="Calibri"/>
          <w:color w:val="525866"/>
          <w:sz w:val="22"/>
        </w:rPr>
        <w:t xml:space="preserve"> Visa funded the litigation escrow and adjusted Class B conversion rates, completing the administrative steps of the MDL settlement. Removes a key legal uncertainty from the stock.</w:t>
      </w:r>
    </w:p>
    <w:p>
      <w:pPr>
        <w:pStyle w:val="ListBullet"/>
        <w:ind w:left="360" w:hanging="360"/>
      </w:pPr>
      <w:r>
        <w:rPr>
          <w:rFonts w:ascii="Calibri" w:hAnsi="Calibri"/>
          <w:b/>
          <w:color w:val="525866"/>
          <w:sz w:val="22"/>
        </w:rPr>
        <w:t>Jul 7, 2026 — Q3 Earnings Date Announced:</w:t>
      </w:r>
      <w:r>
        <w:rPr>
          <w:rFonts w:ascii="Calibri" w:hAnsi="Calibri"/>
          <w:color w:val="525866"/>
          <w:sz w:val="22"/>
        </w:rPr>
        <w:t xml:space="preserve"> Visa confirmed Q3 FY2026 results to be reported July 28, 2026 after market close. Company entered customary quiet period.</w:t>
      </w:r>
    </w:p>
    <w:p>
      <w:pPr>
        <w:pStyle w:val="ListBullet"/>
        <w:ind w:left="360" w:hanging="360"/>
      </w:pPr>
      <w:r>
        <w:rPr>
          <w:rFonts w:ascii="Calibri" w:hAnsi="Calibri"/>
          <w:b/>
          <w:color w:val="525866"/>
          <w:sz w:val="22"/>
        </w:rPr>
        <w:t>Jul 15, 2026 — Bylaws Amendment:</w:t>
      </w:r>
      <w:r>
        <w:rPr>
          <w:rFonts w:ascii="Calibri" w:hAnsi="Calibri"/>
          <w:color w:val="525866"/>
          <w:sz w:val="22"/>
        </w:rPr>
        <w:t xml:space="preserve"> Visa amended bylaws to designate exclusive legal forums for disputes. Administrative governance change; no material financial impact.</w:t>
      </w:r>
    </w:p>
    <w:p>
      <w:pPr>
        <w:pStyle w:val="ListBullet"/>
        <w:ind w:left="360" w:hanging="360"/>
      </w:pPr>
      <w:r>
        <w:rPr>
          <w:rFonts w:ascii="Calibri" w:hAnsi="Calibri"/>
          <w:b/>
          <w:color w:val="525866"/>
          <w:sz w:val="22"/>
        </w:rPr>
        <w:t>Jul 24, 2026 — AXP Q2 Earnings (Peer Read-Through):</w:t>
      </w:r>
      <w:r>
        <w:rPr>
          <w:rFonts w:ascii="Calibri" w:hAnsi="Calibri"/>
          <w:color w:val="525866"/>
          <w:sz w:val="22"/>
        </w:rPr>
        <w:t xml:space="preserve"> American Express reported FX-adjusted spend +9.4% in Q2 (April–June 2026), the highest in three years, with U.S. consumer spending +11% and international +12%. Global travel bookings +22%. Strong positive read-through for Visa's Q3 volumes.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Q2 print are </w:t>
      </w:r>
      <w:r>
        <w:rPr>
          <w:rFonts w:ascii="Calibri" w:hAnsi="Calibri"/>
          <w:b/>
          <w:color w:val="525866"/>
          <w:sz w:val="22"/>
        </w:rPr>
        <w:t>10b5-1 planned sales</w:t>
      </w:r>
      <w:r>
        <w:rPr>
          <w:rFonts w:ascii="Calibri" w:hAnsi="Calibri"/>
          <w:color w:val="525866"/>
          <w:sz w:val="22"/>
        </w:rPr>
        <w:t xml:space="preserve"> (pre-scheduled under Rule 10b5-1 plans) — no discretionary open-market selling or buying. The pattern is routine and does not signal any negative insider view on the upcoming print. The one exception is CFO Chris Suh's May 12 sale, which was not flagged as a 10b5-1 plan and warrants noting, though the size is modest.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Julie B. Rottenberg</w:t>
            </w:r>
          </w:p>
        </w:tc>
        <w:tc>
          <w:tcPr>
            <w:tcW w:type="dxa" w:w="1440"/>
          </w:tcPr>
          <w:p>
            <w:r>
              <w:rPr>
                <w:rFonts w:ascii="Calibri" w:hAnsi="Calibri"/>
                <w:sz w:val="22"/>
              </w:rPr>
              <w:t>General Counsel</w:t>
            </w:r>
          </w:p>
        </w:tc>
        <w:tc>
          <w:tcPr>
            <w:tcW w:type="dxa" w:w="1440"/>
          </w:tcPr>
          <w:p>
            <w:r>
              <w:rPr>
                <w:rFonts w:ascii="Calibri" w:hAnsi="Calibri"/>
                <w:sz w:val="22"/>
              </w:rPr>
              <w:t>10b5-1 Planned Sale</w:t>
            </w:r>
          </w:p>
        </w:tc>
        <w:tc>
          <w:tcPr>
            <w:tcW w:type="dxa" w:w="1440"/>
          </w:tcPr>
          <w:p>
            <w:r>
              <w:rPr>
                <w:rFonts w:ascii="Calibri" w:hAnsi="Calibri"/>
                <w:sz w:val="22"/>
              </w:rPr>
              <w:t>2,027 shares</w:t>
            </w:r>
          </w:p>
        </w:tc>
        <w:tc>
          <w:tcPr>
            <w:tcW w:type="dxa" w:w="1440"/>
          </w:tcPr>
          <w:p>
            <w:r>
              <w:rPr>
                <w:rFonts w:ascii="Calibri" w:hAnsi="Calibri"/>
                <w:sz w:val="22"/>
              </w:rPr>
              <w:t>Jul 2, 2026</w:t>
            </w:r>
          </w:p>
        </w:tc>
        <w:tc>
          <w:tcPr>
            <w:tcW w:type="dxa" w:w="1440"/>
          </w:tcPr>
          <w:p>
            <w:r>
              <w:rPr>
                <w:rFonts w:ascii="Calibri" w:hAnsi="Calibri"/>
                <w:sz w:val="22"/>
              </w:rPr>
              <w:t>Pre-scheduled 10b5-1 plan; routine</w:t>
            </w:r>
          </w:p>
        </w:tc>
      </w:tr>
      <w:tr>
        <w:tc>
          <w:tcPr>
            <w:tcW w:type="dxa" w:w="1440"/>
          </w:tcPr>
          <w:p>
            <w:r>
              <w:rPr>
                <w:rFonts w:ascii="Calibri" w:hAnsi="Calibri"/>
                <w:sz w:val="22"/>
              </w:rPr>
              <w:t>Ryan McInerney</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10,490 shares</w:t>
            </w:r>
          </w:p>
        </w:tc>
        <w:tc>
          <w:tcPr>
            <w:tcW w:type="dxa" w:w="1440"/>
          </w:tcPr>
          <w:p>
            <w:r>
              <w:rPr>
                <w:rFonts w:ascii="Calibri" w:hAnsi="Calibri"/>
                <w:sz w:val="22"/>
              </w:rPr>
              <w:t>Jul 1, 2026</w:t>
            </w:r>
          </w:p>
        </w:tc>
        <w:tc>
          <w:tcPr>
            <w:tcW w:type="dxa" w:w="1440"/>
          </w:tcPr>
          <w:p>
            <w:r>
              <w:rPr>
                <w:rFonts w:ascii="Calibri" w:hAnsi="Calibri"/>
                <w:sz w:val="22"/>
              </w:rPr>
              <w:t>Pre-scheduled 10b5-1 plan; routine; option exercise + same-day sale</w:t>
            </w:r>
          </w:p>
        </w:tc>
      </w:tr>
      <w:tr>
        <w:tc>
          <w:tcPr>
            <w:tcW w:type="dxa" w:w="1440"/>
          </w:tcPr>
          <w:p>
            <w:r>
              <w:rPr>
                <w:rFonts w:ascii="Calibri" w:hAnsi="Calibri"/>
                <w:sz w:val="22"/>
              </w:rPr>
              <w:t>Ryan McInerney</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20,970 shares</w:t>
            </w:r>
          </w:p>
        </w:tc>
        <w:tc>
          <w:tcPr>
            <w:tcW w:type="dxa" w:w="1440"/>
          </w:tcPr>
          <w:p>
            <w:r>
              <w:rPr>
                <w:rFonts w:ascii="Calibri" w:hAnsi="Calibri"/>
                <w:sz w:val="22"/>
              </w:rPr>
              <w:t>Jun 29, 2026</w:t>
            </w:r>
          </w:p>
        </w:tc>
        <w:tc>
          <w:tcPr>
            <w:tcW w:type="dxa" w:w="1440"/>
          </w:tcPr>
          <w:p>
            <w:r>
              <w:rPr>
                <w:rFonts w:ascii="Calibri" w:hAnsi="Calibri"/>
                <w:sz w:val="22"/>
              </w:rPr>
              <w:t>Pre-scheduled 10b5-1 plan; routine; option exercise + same-day sale</w:t>
            </w:r>
          </w:p>
        </w:tc>
      </w:tr>
      <w:tr>
        <w:tc>
          <w:tcPr>
            <w:tcW w:type="dxa" w:w="1440"/>
          </w:tcPr>
          <w:p>
            <w:r>
              <w:rPr>
                <w:rFonts w:ascii="Calibri" w:hAnsi="Calibri"/>
                <w:sz w:val="22"/>
              </w:rPr>
              <w:t>Chris Suh</w:t>
            </w:r>
          </w:p>
        </w:tc>
        <w:tc>
          <w:tcPr>
            <w:tcW w:type="dxa" w:w="1440"/>
          </w:tcPr>
          <w:p>
            <w:r>
              <w:rPr>
                <w:rFonts w:ascii="Calibri" w:hAnsi="Calibri"/>
                <w:sz w:val="22"/>
              </w:rPr>
              <w:t>CFO</w:t>
            </w:r>
          </w:p>
        </w:tc>
        <w:tc>
          <w:tcPr>
            <w:tcW w:type="dxa" w:w="1440"/>
          </w:tcPr>
          <w:p>
            <w:r>
              <w:rPr>
                <w:rFonts w:ascii="Calibri" w:hAnsi="Calibri"/>
                <w:sz w:val="22"/>
              </w:rPr>
              <w:t>Open Market Sale</w:t>
            </w:r>
          </w:p>
        </w:tc>
        <w:tc>
          <w:tcPr>
            <w:tcW w:type="dxa" w:w="1440"/>
          </w:tcPr>
          <w:p>
            <w:r>
              <w:rPr>
                <w:rFonts w:ascii="Calibri" w:hAnsi="Calibri"/>
                <w:sz w:val="22"/>
              </w:rPr>
              <w:t>10,639 shares</w:t>
            </w:r>
          </w:p>
        </w:tc>
        <w:tc>
          <w:tcPr>
            <w:tcW w:type="dxa" w:w="1440"/>
          </w:tcPr>
          <w:p>
            <w:r>
              <w:rPr>
                <w:rFonts w:ascii="Calibri" w:hAnsi="Calibri"/>
                <w:sz w:val="22"/>
              </w:rPr>
              <w:t>May 12, 2026</w:t>
            </w:r>
          </w:p>
        </w:tc>
        <w:tc>
          <w:tcPr>
            <w:tcW w:type="dxa" w:w="1440"/>
          </w:tcPr>
          <w:p>
            <w:r>
              <w:rPr>
                <w:rFonts w:ascii="Calibri" w:hAnsi="Calibri"/>
                <w:sz w:val="22"/>
              </w:rPr>
              <w:t>Not flagged as 10b5-1; discretionary sale; modest size; no pattern of clustering</w:t>
            </w:r>
          </w:p>
        </w:tc>
      </w:tr>
      <w:tr>
        <w:tc>
          <w:tcPr>
            <w:tcW w:type="dxa" w:w="1440"/>
          </w:tcPr>
          <w:p>
            <w:r>
              <w:rPr>
                <w:rFonts w:ascii="Calibri" w:hAnsi="Calibri"/>
                <w:sz w:val="22"/>
              </w:rPr>
              <w:t>Ryan McInerney</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31,455 shares</w:t>
            </w:r>
          </w:p>
        </w:tc>
        <w:tc>
          <w:tcPr>
            <w:tcW w:type="dxa" w:w="1440"/>
          </w:tcPr>
          <w:p>
            <w:r>
              <w:rPr>
                <w:rFonts w:ascii="Calibri" w:hAnsi="Calibri"/>
                <w:sz w:val="22"/>
              </w:rPr>
              <w:t>Apr 29, 2026</w:t>
            </w:r>
          </w:p>
        </w:tc>
        <w:tc>
          <w:tcPr>
            <w:tcW w:type="dxa" w:w="1440"/>
          </w:tcPr>
          <w:p>
            <w:r>
              <w:rPr>
                <w:rFonts w:ascii="Calibri" w:hAnsi="Calibri"/>
                <w:sz w:val="22"/>
              </w:rPr>
              <w:t>Pre-scheduled 10b5-1 plan; routine; option exercise + same-day sale (day after Q2 earnings)</w:t>
            </w:r>
          </w:p>
        </w:tc>
      </w:tr>
    </w:tbl>
    <w:p>
      <w:r>
        <w:rPr>
          <w:rFonts w:ascii="Calibri" w:hAnsi="Calibri"/>
          <w:color w:val="525866"/>
          <w:sz w:val="22"/>
        </w:rPr>
        <w:t>Source: SEC Form 4 filings (Insider Transaction Data).</w:t>
      </w:r>
    </w:p>
    <w:p>
      <w:r>
        <w:rPr>
          <w:rFonts w:ascii="Calibri" w:hAnsi="Calibri"/>
          <w:color w:val="525866"/>
          <w:sz w:val="22"/>
        </w:rPr>
        <w:t xml:space="preserve">All CEO McInerney transactions are option exercises followed by same-day sales under pre-scheduled 10b5-1 plans — a standard compensation-driven pattern with no informational content about the upcoming print. The CFO's May 12 sale (10,639 shares) is the only transaction not flagged as a 10b5-1 plan, but the size is modest and there is no clustering of discretionary sales across multiple insiders that would signal concern. </w:t>
      </w:r>
    </w:p>
    <w:p>
      <w:r>
        <w:rPr>
          <w:rFonts w:ascii="Calibri" w:hAnsi="Calibri"/>
          <w:color w:val="525866"/>
          <w:sz w:val="22"/>
        </w:rPr>
        <w:t>No open-market buys were recorded in the period, which is typical for a large-cap company where executives hold significant equity through compensation programs. The absence of discretionary buying is not a negative signal given the stock's +17% run since the Q2 print.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