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Visa Inc. (V) — Fiscal Q3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Visa Inc. (NYSE: V)</w:t>
            </w:r>
          </w:p>
        </w:tc>
      </w:tr>
      <w:tr>
        <w:tc>
          <w:tcPr>
            <w:tcW w:type="dxa" w:w="4320"/>
          </w:tcPr>
          <w:p>
            <w:r>
              <w:rPr>
                <w:rFonts w:ascii="Calibri" w:hAnsi="Calibri"/>
                <w:b/>
                <w:sz w:val="22"/>
              </w:rPr>
              <w:t>Reporting Period</w:t>
            </w:r>
          </w:p>
        </w:tc>
        <w:tc>
          <w:tcPr>
            <w:tcW w:type="dxa" w:w="4320"/>
          </w:tcPr>
          <w:p>
            <w:r>
              <w:rPr>
                <w:rFonts w:ascii="Calibri" w:hAnsi="Calibri"/>
                <w:sz w:val="22"/>
              </w:rPr>
              <w:t>Fiscal Q3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(after market close)</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Last Earnings</w:t>
            </w:r>
          </w:p>
        </w:tc>
        <w:tc>
          <w:tcPr>
            <w:tcW w:type="dxa" w:w="4320"/>
          </w:tcPr>
          <w:p>
            <w:r>
              <w:rPr>
                <w:rFonts w:ascii="Calibri" w:hAnsi="Calibri"/>
                <w:sz w:val="22"/>
              </w:rPr>
              <w:t>April 28, 2026 (Fiscal Q2 2026)</w:t>
            </w:r>
          </w:p>
        </w:tc>
      </w:tr>
      <w:tr>
        <w:tc>
          <w:tcPr>
            <w:tcW w:type="dxa" w:w="4320"/>
          </w:tcPr>
          <w:p>
            <w:r>
              <w:rPr>
                <w:rFonts w:ascii="Calibri" w:hAnsi="Calibri"/>
                <w:b/>
                <w:sz w:val="22"/>
              </w:rPr>
              <w:t>Sector ETF Benchmark</w:t>
            </w:r>
          </w:p>
        </w:tc>
        <w:tc>
          <w:tcPr>
            <w:tcW w:type="dxa" w:w="4320"/>
          </w:tcPr>
          <w:p>
            <w:r>
              <w:rPr>
                <w:rFonts w:ascii="Calibri" w:hAnsi="Calibri"/>
                <w:sz w:val="22"/>
              </w:rPr>
              <w:t>IAI (iShares U.S. Broker-Dealers &amp; Securities Exchanges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has been revised only modestly higher since the Q2 print, management guided explicitly for low-double-digit revenue growth and mid-to-high single-digit EPS growth in Q3, and the biggest swing factor is whether FX volatility and cross-border travel volumes held up through the FIFA World Cup tailwind.</w:t>
      </w:r>
    </w:p>
    <w:p>
      <w:r>
        <w:rPr>
          <w:rFonts w:ascii="Calibri" w:hAnsi="Calibri"/>
          <w:color w:val="525866"/>
          <w:sz w:val="22"/>
        </w:rPr>
        <w:t xml:space="preserve">Heading into Visa's fiscal Q3 2026 print, the bar looks achievable but not easy. Management guided Q3 net revenue growth in the </w:t>
      </w:r>
      <w:r>
        <w:rPr>
          <w:rFonts w:ascii="Calibri" w:hAnsi="Calibri"/>
          <w:b/>
          <w:color w:val="525866"/>
          <w:sz w:val="22"/>
        </w:rPr>
        <w:t>low double digits</w:t>
      </w:r>
      <w:r>
        <w:rPr>
          <w:rFonts w:ascii="Calibri" w:hAnsi="Calibri"/>
          <w:color w:val="525866"/>
          <w:sz w:val="22"/>
        </w:rPr>
        <w:t xml:space="preserve"> — explicitly flagging this as the lowest growth quarter of the year — and EPS growth in the </w:t>
      </w:r>
      <w:r>
        <w:rPr>
          <w:rFonts w:ascii="Calibri" w:hAnsi="Calibri"/>
          <w:b/>
          <w:color w:val="525866"/>
          <w:sz w:val="22"/>
        </w:rPr>
        <w:t>mid-to-high single digits</w:t>
      </w:r>
      <w:r>
        <w:rPr>
          <w:rFonts w:ascii="Calibri" w:hAnsi="Calibri"/>
          <w:color w:val="525866"/>
          <w:sz w:val="22"/>
        </w:rPr>
        <w:t xml:space="preserve">, a meaningful step-down from Q2's 20% EPS growth driven by three known headwinds: higher incentive growth (lapping Q3 2025's low point), tougher FX volatility comparables (Q3 2025 was the highest volatility quarter of last year), and a step-up in FIFA-related marketing spend. Consensus EPS for Q3 2026 sits at ~$3.23, essentially flat since the Q2 print, suggesting the Street has largely accepted management's framing rather than building in upside. The stock has rallied ~17% since the Q2 earnings date, with multiple expansion accounting for the majority of the move in the 3-month window, leaving less room for a sentiment-driven re-rating on the print. The </w:t>
      </w:r>
      <w:r>
        <w:rPr>
          <w:rFonts w:ascii="Calibri" w:hAnsi="Calibri"/>
          <w:b/>
          <w:color w:val="525866"/>
          <w:sz w:val="22"/>
        </w:rPr>
        <w:t>key wildcard is cross-border volume</w:t>
      </w:r>
      <w:r>
        <w:rPr>
          <w:rFonts w:ascii="Calibri" w:hAnsi="Calibri"/>
          <w:color w:val="525866"/>
          <w:sz w:val="22"/>
        </w:rPr>
        <w:t>: intra-quarter data through mid-May showed recovery back to February levels, and the FIFA World Cup (which began in June) was expected to provide a meaningful tailwind to both travel volumes and VAS marketing services revenue — if that tailwind materialized as management anticipated, revenue could surprise to the upside even against the tough volatility comparable. Conversely, any lingering Middle East conflict impact on CEMEA travel or a softer-than-expected FIFA lift would pressure the cross-border line and likely keep the print in-line rather than a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reflects management's guided step-down in Q3, with revenue the bigger swing factor than EPS. Cross-border volume (ex-intra-Europe) and VAS revenue are the two KPIs most likely to determine whether the print is a beat or in-line.</w:t>
      </w:r>
    </w:p>
    <w:p>
      <w:pPr>
        <w:pStyle w:val="Heading3"/>
      </w:pPr>
      <w:r>
        <w:rPr>
          <w:rFonts w:ascii="Calibri" w:hAnsi="Calibri"/>
          <w:b/>
          <w:color w:val="3B4259"/>
          <w:sz w:val="24"/>
        </w:rPr>
        <w:t>Table 1 — Current Quarter Snapshot (Fiscal Q3 2026, Quarter Ended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2026)</w:t>
            </w:r>
          </w:p>
        </w:tc>
        <w:tc>
          <w:tcPr>
            <w:tcW w:type="dxa" w:w="1234"/>
            <w:shd w:val="clear" w:color="auto" w:fill="3B4259"/>
          </w:tcPr>
          <w:p>
            <w:r>
              <w:rPr>
                <w:rFonts w:ascii="Calibri" w:hAnsi="Calibri"/>
                <w:b/>
                <w:color w:val="FFFFFF"/>
                <w:sz w:val="22"/>
              </w:rPr>
              <w:t>Prior Year Period Actual (Q3 2025)</w:t>
            </w:r>
          </w:p>
        </w:tc>
        <w:tc>
          <w:tcPr>
            <w:tcW w:type="dxa" w:w="1234"/>
            <w:shd w:val="clear" w:color="auto" w:fill="3B4259"/>
          </w:tcPr>
          <w:p>
            <w:r>
              <w:rPr>
                <w:rFonts w:ascii="Calibri" w:hAnsi="Calibri"/>
                <w:b/>
                <w:color w:val="FFFFFF"/>
                <w:sz w:val="22"/>
              </w:rPr>
              <w:t>Q3 2026 Consensus Estimate</w:t>
            </w:r>
          </w:p>
        </w:tc>
        <w:tc>
          <w:tcPr>
            <w:tcW w:type="dxa" w:w="1234"/>
            <w:shd w:val="clear" w:color="auto" w:fill="3B4259"/>
          </w:tcPr>
          <w:p>
            <w:r>
              <w:rPr>
                <w:rFonts w:ascii="Calibri" w:hAnsi="Calibri"/>
                <w:b/>
                <w:color w:val="FFFFFF"/>
                <w:sz w:val="22"/>
              </w:rPr>
              <w:t>YoY Change (Est. vs. Actual)</w:t>
            </w:r>
          </w:p>
        </w:tc>
        <w:tc>
          <w:tcPr>
            <w:tcW w:type="dxa" w:w="1234"/>
            <w:shd w:val="clear" w:color="auto" w:fill="3B4259"/>
          </w:tcPr>
          <w:p>
            <w:r>
              <w:rPr>
                <w:rFonts w:ascii="Calibri" w:hAnsi="Calibri"/>
                <w:b/>
                <w:color w:val="FFFFFF"/>
                <w:sz w:val="22"/>
              </w:rPr>
              <w:t>Management Guidance (Q3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 ($B)</w:t>
            </w:r>
          </w:p>
        </w:tc>
        <w:tc>
          <w:tcPr>
            <w:tcW w:type="dxa" w:w="1234"/>
          </w:tcPr>
          <w:p>
            <w:r>
              <w:rPr>
                <w:rFonts w:ascii="Calibri" w:hAnsi="Calibri"/>
                <w:sz w:val="22"/>
              </w:rPr>
              <w:t>$11.23B</w:t>
            </w:r>
          </w:p>
        </w:tc>
        <w:tc>
          <w:tcPr>
            <w:tcW w:type="dxa" w:w="1234"/>
          </w:tcPr>
          <w:p>
            <w:r>
              <w:rPr>
                <w:rFonts w:ascii="Calibri" w:hAnsi="Calibri"/>
                <w:sz w:val="22"/>
              </w:rPr>
              <w:t>$10.17B</w:t>
            </w:r>
          </w:p>
        </w:tc>
        <w:tc>
          <w:tcPr>
            <w:tcW w:type="dxa" w:w="1234"/>
          </w:tcPr>
          <w:p>
            <w:r>
              <w:rPr>
                <w:rFonts w:ascii="Calibri" w:hAnsi="Calibri"/>
                <w:sz w:val="22"/>
              </w:rPr>
              <w:t>$11.39B</w:t>
            </w:r>
          </w:p>
        </w:tc>
        <w:tc>
          <w:tcPr>
            <w:tcW w:type="dxa" w:w="1234"/>
          </w:tcPr>
          <w:p>
            <w:r>
              <w:rPr>
                <w:rFonts w:ascii="Calibri" w:hAnsi="Calibri"/>
                <w:sz w:val="22"/>
              </w:rPr>
              <w:t>+12.0% YoY</w:t>
            </w:r>
          </w:p>
        </w:tc>
        <w:tc>
          <w:tcPr>
            <w:tcW w:type="dxa" w:w="1234"/>
          </w:tcPr>
          <w:p>
            <w:r>
              <w:rPr>
                <w:rFonts w:ascii="Calibri" w:hAnsi="Calibri"/>
                <w:sz w:val="22"/>
              </w:rPr>
              <w:t>Low double-digit growth</w:t>
            </w:r>
          </w:p>
        </w:tc>
        <w:tc>
          <w:tcPr>
            <w:tcW w:type="dxa" w:w="1234"/>
          </w:tcPr>
          <w:p>
            <w:r>
              <w:rPr>
                <w:rFonts w:ascii="Calibri" w:hAnsi="Calibri"/>
                <w:sz w:val="22"/>
              </w:rPr>
              <w:t>In-line with guidance midpoint</w:t>
            </w:r>
          </w:p>
        </w:tc>
      </w:tr>
      <w:tr>
        <w:tc>
          <w:tcPr>
            <w:tcW w:type="dxa" w:w="1234"/>
          </w:tcPr>
          <w:p>
            <w:r>
              <w:rPr>
                <w:rFonts w:ascii="Calibri" w:hAnsi="Calibri"/>
                <w:sz w:val="22"/>
              </w:rPr>
              <w:t>Adj. EPS (Diluted, Operating)</w:t>
            </w:r>
          </w:p>
        </w:tc>
        <w:tc>
          <w:tcPr>
            <w:tcW w:type="dxa" w:w="1234"/>
          </w:tcPr>
          <w:p>
            <w:r>
              <w:rPr>
                <w:rFonts w:ascii="Calibri" w:hAnsi="Calibri"/>
                <w:sz w:val="22"/>
              </w:rPr>
              <w:t>$3.31</w:t>
            </w:r>
          </w:p>
        </w:tc>
        <w:tc>
          <w:tcPr>
            <w:tcW w:type="dxa" w:w="1234"/>
          </w:tcPr>
          <w:p>
            <w:r>
              <w:rPr>
                <w:rFonts w:ascii="Calibri" w:hAnsi="Calibri"/>
                <w:sz w:val="22"/>
              </w:rPr>
              <w:t>$2.98</w:t>
            </w:r>
          </w:p>
        </w:tc>
        <w:tc>
          <w:tcPr>
            <w:tcW w:type="dxa" w:w="1234"/>
          </w:tcPr>
          <w:p>
            <w:r>
              <w:rPr>
                <w:rFonts w:ascii="Calibri" w:hAnsi="Calibri"/>
                <w:sz w:val="22"/>
              </w:rPr>
              <w:t>$3.23</w:t>
            </w:r>
          </w:p>
        </w:tc>
        <w:tc>
          <w:tcPr>
            <w:tcW w:type="dxa" w:w="1234"/>
          </w:tcPr>
          <w:p>
            <w:r>
              <w:rPr>
                <w:rFonts w:ascii="Calibri" w:hAnsi="Calibri"/>
                <w:sz w:val="22"/>
              </w:rPr>
              <w:t>+8.4% YoY</w:t>
            </w:r>
          </w:p>
        </w:tc>
        <w:tc>
          <w:tcPr>
            <w:tcW w:type="dxa" w:w="1234"/>
          </w:tcPr>
          <w:p>
            <w:r>
              <w:rPr>
                <w:rFonts w:ascii="Calibri" w:hAnsi="Calibri"/>
                <w:sz w:val="22"/>
              </w:rPr>
              <w:t>Mid-to-high single-digit growth</w:t>
            </w:r>
          </w:p>
        </w:tc>
        <w:tc>
          <w:tcPr>
            <w:tcW w:type="dxa" w:w="1234"/>
          </w:tcPr>
          <w:p>
            <w:r>
              <w:rPr>
                <w:rFonts w:ascii="Calibri" w:hAnsi="Calibri"/>
                <w:sz w:val="22"/>
              </w:rPr>
              <w:t>In-line with guidance midpoint</w:t>
            </w:r>
          </w:p>
        </w:tc>
      </w:tr>
      <w:tr>
        <w:tc>
          <w:tcPr>
            <w:tcW w:type="dxa" w:w="1234"/>
          </w:tcPr>
          <w:p>
            <w:r>
              <w:rPr>
                <w:rFonts w:ascii="Calibri" w:hAnsi="Calibri"/>
                <w:sz w:val="22"/>
              </w:rPr>
              <w:t>Payments Volume Growth — Visa Inc. (CC %)</w:t>
            </w:r>
          </w:p>
        </w:tc>
        <w:tc>
          <w:tcPr>
            <w:tcW w:type="dxa" w:w="1234"/>
          </w:tcPr>
          <w:p>
            <w:r>
              <w:rPr>
                <w:rFonts w:ascii="Calibri" w:hAnsi="Calibri"/>
                <w:sz w:val="22"/>
              </w:rPr>
              <w:t>+8.9% CC</w:t>
            </w:r>
          </w:p>
        </w:tc>
        <w:tc>
          <w:tcPr>
            <w:tcW w:type="dxa" w:w="1234"/>
          </w:tcPr>
          <w:p>
            <w:r>
              <w:rPr>
                <w:rFonts w:ascii="Calibri" w:hAnsi="Calibri"/>
                <w:sz w:val="22"/>
              </w:rPr>
              <w:t>+8.2% CC</w:t>
            </w:r>
          </w:p>
        </w:tc>
        <w:tc>
          <w:tcPr>
            <w:tcW w:type="dxa" w:w="1234"/>
          </w:tcPr>
          <w:p>
            <w:r>
              <w:rPr>
                <w:rFonts w:ascii="Calibri" w:hAnsi="Calibri"/>
                <w:sz w:val="22"/>
              </w:rPr>
              <w:t>~+8.9% CC</w:t>
            </w:r>
          </w:p>
        </w:tc>
        <w:tc>
          <w:tcPr>
            <w:tcW w:type="dxa" w:w="1234"/>
          </w:tcPr>
          <w:p>
            <w:r>
              <w:rPr>
                <w:rFonts w:ascii="Calibri" w:hAnsi="Calibri"/>
                <w:sz w:val="22"/>
              </w:rPr>
              <w:t>~Flat YoY</w:t>
            </w:r>
          </w:p>
        </w:tc>
        <w:tc>
          <w:tcPr>
            <w:tcW w:type="dxa" w:w="1234"/>
          </w:tcPr>
          <w:p>
            <w:r>
              <w:rPr>
                <w:rFonts w:ascii="Calibri" w:hAnsi="Calibri"/>
                <w:sz w:val="22"/>
              </w:rPr>
              <w:t>Resilient and strong drivers assumed</w:t>
            </w:r>
          </w:p>
        </w:tc>
        <w:tc>
          <w:tcPr>
            <w:tcW w:type="dxa" w:w="1234"/>
          </w:tcPr>
          <w:p>
            <w:r>
              <w:rPr>
                <w:rFonts w:ascii="Calibri" w:hAnsi="Calibri"/>
                <w:sz w:val="22"/>
              </w:rPr>
              <w:t>In-line</w:t>
            </w:r>
          </w:p>
        </w:tc>
      </w:tr>
      <w:tr>
        <w:tc>
          <w:tcPr>
            <w:tcW w:type="dxa" w:w="1234"/>
          </w:tcPr>
          <w:p>
            <w:r>
              <w:rPr>
                <w:rFonts w:ascii="Calibri" w:hAnsi="Calibri"/>
                <w:sz w:val="22"/>
              </w:rPr>
              <w:t>Cross-Border Volume Growth (ex-Intra-Europe, CC %)</w:t>
            </w:r>
          </w:p>
        </w:tc>
        <w:tc>
          <w:tcPr>
            <w:tcW w:type="dxa" w:w="1234"/>
          </w:tcPr>
          <w:p>
            <w:r>
              <w:rPr>
                <w:rFonts w:ascii="Calibri" w:hAnsi="Calibri"/>
                <w:sz w:val="22"/>
              </w:rPr>
              <w:t>+11% CC</w:t>
            </w:r>
          </w:p>
        </w:tc>
        <w:tc>
          <w:tcPr>
            <w:tcW w:type="dxa" w:w="1234"/>
          </w:tcPr>
          <w:p>
            <w:r>
              <w:rPr>
                <w:rFonts w:ascii="Calibri" w:hAnsi="Calibri"/>
                <w:sz w:val="22"/>
              </w:rPr>
              <w:t>+11% CC</w:t>
            </w:r>
          </w:p>
        </w:tc>
        <w:tc>
          <w:tcPr>
            <w:tcW w:type="dxa" w:w="1234"/>
          </w:tcPr>
          <w:p>
            <w:r>
              <w:rPr>
                <w:rFonts w:ascii="Calibri" w:hAnsi="Calibri"/>
                <w:sz w:val="22"/>
              </w:rPr>
              <w:t>~+10.8% CC</w:t>
            </w:r>
          </w:p>
        </w:tc>
        <w:tc>
          <w:tcPr>
            <w:tcW w:type="dxa" w:w="1234"/>
          </w:tcPr>
          <w:p>
            <w:r>
              <w:rPr>
                <w:rFonts w:ascii="Calibri" w:hAnsi="Calibri"/>
                <w:sz w:val="22"/>
              </w:rPr>
              <w:t>~Flat YoY</w:t>
            </w:r>
          </w:p>
        </w:tc>
        <w:tc>
          <w:tcPr>
            <w:tcW w:type="dxa" w:w="1234"/>
          </w:tcPr>
          <w:p>
            <w:r>
              <w:rPr>
                <w:rFonts w:ascii="Calibri" w:hAnsi="Calibri"/>
                <w:sz w:val="22"/>
              </w:rPr>
              <w:t>Resilient; FIFA tailwind expected; CEMEA headwind noted</w:t>
            </w:r>
          </w:p>
        </w:tc>
        <w:tc>
          <w:tcPr>
            <w:tcW w:type="dxa" w:w="1234"/>
          </w:tcPr>
          <w:p>
            <w:r>
              <w:rPr>
                <w:rFonts w:ascii="Calibri" w:hAnsi="Calibri"/>
                <w:sz w:val="22"/>
              </w:rPr>
              <w:t>Slightly below guidance tone</w:t>
            </w:r>
          </w:p>
        </w:tc>
      </w:tr>
      <w:tr>
        <w:tc>
          <w:tcPr>
            <w:tcW w:type="dxa" w:w="1234"/>
          </w:tcPr>
          <w:p>
            <w:r>
              <w:rPr>
                <w:rFonts w:ascii="Calibri" w:hAnsi="Calibri"/>
                <w:sz w:val="22"/>
              </w:rPr>
              <w:t>Processed Transactions (M)</w:t>
            </w:r>
          </w:p>
        </w:tc>
        <w:tc>
          <w:tcPr>
            <w:tcW w:type="dxa" w:w="1234"/>
          </w:tcPr>
          <w:p>
            <w:r>
              <w:rPr>
                <w:rFonts w:ascii="Calibri" w:hAnsi="Calibri"/>
                <w:sz w:val="22"/>
              </w:rPr>
              <w:t>66,086M</w:t>
            </w:r>
          </w:p>
        </w:tc>
        <w:tc>
          <w:tcPr>
            <w:tcW w:type="dxa" w:w="1234"/>
          </w:tcPr>
          <w:p>
            <w:r>
              <w:rPr>
                <w:rFonts w:ascii="Calibri" w:hAnsi="Calibri"/>
                <w:sz w:val="22"/>
              </w:rPr>
              <w:t>65,443M</w:t>
            </w:r>
          </w:p>
        </w:tc>
        <w:tc>
          <w:tcPr>
            <w:tcW w:type="dxa" w:w="1234"/>
          </w:tcPr>
          <w:p>
            <w:r>
              <w:rPr>
                <w:rFonts w:ascii="Calibri" w:hAnsi="Calibri"/>
                <w:sz w:val="22"/>
              </w:rPr>
              <w:t>71,119M</w:t>
            </w:r>
          </w:p>
        </w:tc>
        <w:tc>
          <w:tcPr>
            <w:tcW w:type="dxa" w:w="1234"/>
          </w:tcPr>
          <w:p>
            <w:r>
              <w:rPr>
                <w:rFonts w:ascii="Calibri" w:hAnsi="Calibri"/>
                <w:sz w:val="22"/>
              </w:rPr>
              <w:t>+8.7% YoY</w:t>
            </w:r>
          </w:p>
        </w:tc>
        <w:tc>
          <w:tcPr>
            <w:tcW w:type="dxa" w:w="1234"/>
          </w:tcPr>
          <w:p>
            <w:r>
              <w:rPr>
                <w:rFonts w:ascii="Calibri" w:hAnsi="Calibri"/>
                <w:sz w:val="22"/>
              </w:rPr>
              <w:t>Resilient and strong drivers assumed</w:t>
            </w:r>
          </w:p>
        </w:tc>
        <w:tc>
          <w:tcPr>
            <w:tcW w:type="dxa" w:w="1234"/>
          </w:tcPr>
          <w:p>
            <w:r>
              <w:rPr>
                <w:rFonts w:ascii="Calibri" w:hAnsi="Calibri"/>
                <w:sz w:val="22"/>
              </w:rPr>
              <w:t>In-line</w:t>
            </w:r>
          </w:p>
        </w:tc>
      </w:tr>
      <w:tr>
        <w:tc>
          <w:tcPr>
            <w:tcW w:type="dxa" w:w="1234"/>
          </w:tcPr>
          <w:p>
            <w:r>
              <w:rPr>
                <w:rFonts w:ascii="Calibri" w:hAnsi="Calibri"/>
                <w:sz w:val="22"/>
              </w:rPr>
              <w:t>Client Incentives ($B)</w:t>
            </w:r>
          </w:p>
        </w:tc>
        <w:tc>
          <w:tcPr>
            <w:tcW w:type="dxa" w:w="1234"/>
          </w:tcPr>
          <w:p>
            <w:r>
              <w:rPr>
                <w:rFonts w:ascii="Calibri" w:hAnsi="Calibri"/>
                <w:sz w:val="22"/>
              </w:rPr>
              <w:t>-$4.245B</w:t>
            </w:r>
          </w:p>
        </w:tc>
        <w:tc>
          <w:tcPr>
            <w:tcW w:type="dxa" w:w="1234"/>
          </w:tcPr>
          <w:p>
            <w:r>
              <w:rPr>
                <w:rFonts w:ascii="Calibri" w:hAnsi="Calibri"/>
                <w:sz w:val="22"/>
              </w:rPr>
              <w:t>-$3.972B</w:t>
            </w:r>
          </w:p>
        </w:tc>
        <w:tc>
          <w:tcPr>
            <w:tcW w:type="dxa" w:w="1234"/>
          </w:tcPr>
          <w:p>
            <w:r>
              <w:rPr>
                <w:rFonts w:ascii="Calibri" w:hAnsi="Calibri"/>
                <w:sz w:val="22"/>
              </w:rPr>
              <w:t>-$4.619B</w:t>
            </w:r>
          </w:p>
        </w:tc>
        <w:tc>
          <w:tcPr>
            <w:tcW w:type="dxa" w:w="1234"/>
          </w:tcPr>
          <w:p>
            <w:r>
              <w:rPr>
                <w:rFonts w:ascii="Calibri" w:hAnsi="Calibri"/>
                <w:sz w:val="22"/>
              </w:rPr>
              <w:t>+16.3% YoY (headwind)</w:t>
            </w:r>
          </w:p>
        </w:tc>
        <w:tc>
          <w:tcPr>
            <w:tcW w:type="dxa" w:w="1234"/>
          </w:tcPr>
          <w:p>
            <w:r>
              <w:rPr>
                <w:rFonts w:ascii="Calibri" w:hAnsi="Calibri"/>
                <w:sz w:val="22"/>
              </w:rPr>
              <w:t>Step-up from Q2; lapping Q3 2025 low point</w:t>
            </w:r>
          </w:p>
        </w:tc>
        <w:tc>
          <w:tcPr>
            <w:tcW w:type="dxa" w:w="1234"/>
          </w:tcPr>
          <w:p>
            <w:r>
              <w:rPr>
                <w:rFonts w:ascii="Calibri" w:hAnsi="Calibri"/>
                <w:sz w:val="22"/>
              </w:rPr>
              <w:t>In-line with guided step-up</w:t>
            </w:r>
          </w:p>
        </w:tc>
      </w:tr>
    </w:tbl>
    <w:p>
      <w:r>
        <w:rPr>
          <w:rFonts w:ascii="Calibri" w:hAnsi="Calibri"/>
          <w:b/>
          <w:color w:val="525866"/>
          <w:sz w:val="22"/>
        </w:rPr>
        <w:t xml:space="preserve">Sources: </w:t>
      </w:r>
      <w:r>
        <w:rPr>
          <w:rFonts w:ascii="Calibri" w:hAnsi="Calibri"/>
          <w:color w:val="525866"/>
          <w:sz w:val="22"/>
        </w:rPr>
        <w:t>Visible Alpha Consensus and Actuals Data (Net Revenue, Adj. EPS, Payments Volume, Cross-Border Volume, Processed Transactions, Client Incentives); Visa Q2 2026 Earnings Call (April 28, 2026) for Q3 guidance. VA fiscal period 3QFY-2026 corresponds to quarter ended June 30, 2026.</w:t>
      </w:r>
    </w:p>
    <w:p>
      <w:pPr>
        <w:pStyle w:val="Heading3"/>
      </w:pPr>
      <w:r>
        <w:rPr>
          <w:rFonts w:ascii="Calibri" w:hAnsi="Calibri"/>
          <w:b/>
          <w:color w:val="3B4259"/>
          <w:sz w:val="24"/>
        </w:rPr>
        <w:t>Table 2 — Beat/Miss History: Last 8 Quarters (Top 2 KPIs: Net Revenue &amp; Adj.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2024 (Jun-24)</w:t>
            </w:r>
          </w:p>
        </w:tc>
        <w:tc>
          <w:tcPr>
            <w:tcW w:type="dxa" w:w="1440"/>
          </w:tcPr>
          <w:p>
            <w:r>
              <w:rPr>
                <w:rFonts w:ascii="Calibri" w:hAnsi="Calibri"/>
                <w:sz w:val="22"/>
              </w:rPr>
              <w:t>Net Revenue</w:t>
            </w:r>
          </w:p>
        </w:tc>
        <w:tc>
          <w:tcPr>
            <w:tcW w:type="dxa" w:w="1440"/>
          </w:tcPr>
          <w:p>
            <w:r>
              <w:rPr>
                <w:rFonts w:ascii="Calibri" w:hAnsi="Calibri"/>
                <w:sz w:val="22"/>
              </w:rPr>
              <w:t>$8.90B</w:t>
            </w:r>
          </w:p>
        </w:tc>
        <w:tc>
          <w:tcPr>
            <w:tcW w:type="dxa" w:w="1440"/>
          </w:tcPr>
          <w:p>
            <w:r>
              <w:rPr>
                <w:rFonts w:ascii="Calibri" w:hAnsi="Calibri"/>
                <w:sz w:val="22"/>
              </w:rPr>
              <w:t>$8.87B</w:t>
            </w:r>
          </w:p>
        </w:tc>
        <w:tc>
          <w:tcPr>
            <w:tcW w:type="dxa" w:w="1440"/>
          </w:tcPr>
          <w:p>
            <w:r>
              <w:rPr>
                <w:rFonts w:ascii="Calibri" w:hAnsi="Calibri"/>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Q3 2024 (Jun-24)</w:t>
            </w:r>
          </w:p>
        </w:tc>
        <w:tc>
          <w:tcPr>
            <w:tcW w:type="dxa" w:w="1440"/>
          </w:tcPr>
          <w:p>
            <w:r>
              <w:rPr>
                <w:rFonts w:ascii="Calibri" w:hAnsi="Calibri"/>
                <w:sz w:val="22"/>
              </w:rPr>
              <w:t>Adj. EPS</w:t>
            </w:r>
          </w:p>
        </w:tc>
        <w:tc>
          <w:tcPr>
            <w:tcW w:type="dxa" w:w="1440"/>
          </w:tcPr>
          <w:p>
            <w:r>
              <w:rPr>
                <w:rFonts w:ascii="Calibri" w:hAnsi="Calibri"/>
                <w:sz w:val="22"/>
              </w:rPr>
              <w:t>$2.42</w:t>
            </w:r>
          </w:p>
        </w:tc>
        <w:tc>
          <w:tcPr>
            <w:tcW w:type="dxa" w:w="1440"/>
          </w:tcPr>
          <w:p>
            <w:r>
              <w:rPr>
                <w:rFonts w:ascii="Calibri" w:hAnsi="Calibri"/>
                <w:sz w:val="22"/>
              </w:rPr>
              <w:t>$2.35</w:t>
            </w:r>
          </w:p>
        </w:tc>
        <w:tc>
          <w:tcPr>
            <w:tcW w:type="dxa" w:w="1440"/>
          </w:tcPr>
          <w:p>
            <w:r>
              <w:rPr>
                <w:rFonts w:ascii="Calibri" w:hAnsi="Calibri"/>
                <w:sz w:val="22"/>
              </w:rPr>
              <w:t>+3.0%</w:t>
            </w:r>
          </w:p>
        </w:tc>
        <w:tc>
          <w:tcPr>
            <w:tcW w:type="dxa" w:w="1440"/>
          </w:tcPr>
          <w:p>
            <w:r>
              <w:rPr>
                <w:rFonts w:ascii="Calibri" w:hAnsi="Calibri"/>
                <w:b/>
                <w:color w:val="30A46C"/>
                <w:sz w:val="22"/>
              </w:rPr>
              <w:t>Beat</w:t>
            </w:r>
          </w:p>
        </w:tc>
      </w:tr>
      <w:tr>
        <w:tc>
          <w:tcPr>
            <w:tcW w:type="dxa" w:w="1440"/>
          </w:tcPr>
          <w:p>
            <w:r>
              <w:rPr>
                <w:rFonts w:ascii="Calibri" w:hAnsi="Calibri"/>
                <w:sz w:val="22"/>
              </w:rPr>
              <w:t>Q4 2024 (Sep-24)</w:t>
            </w:r>
          </w:p>
        </w:tc>
        <w:tc>
          <w:tcPr>
            <w:tcW w:type="dxa" w:w="1440"/>
          </w:tcPr>
          <w:p>
            <w:r>
              <w:rPr>
                <w:rFonts w:ascii="Calibri" w:hAnsi="Calibri"/>
                <w:sz w:val="22"/>
              </w:rPr>
              <w:t>Net Revenue</w:t>
            </w:r>
          </w:p>
        </w:tc>
        <w:tc>
          <w:tcPr>
            <w:tcW w:type="dxa" w:w="1440"/>
          </w:tcPr>
          <w:p>
            <w:r>
              <w:rPr>
                <w:rFonts w:ascii="Calibri" w:hAnsi="Calibri"/>
                <w:sz w:val="22"/>
              </w:rPr>
              <w:t>$9.62B</w:t>
            </w:r>
          </w:p>
        </w:tc>
        <w:tc>
          <w:tcPr>
            <w:tcW w:type="dxa" w:w="1440"/>
          </w:tcPr>
          <w:p>
            <w:r>
              <w:rPr>
                <w:rFonts w:ascii="Calibri" w:hAnsi="Calibri"/>
                <w:sz w:val="22"/>
              </w:rPr>
              <w:t>$9.49B</w:t>
            </w:r>
          </w:p>
        </w:tc>
        <w:tc>
          <w:tcPr>
            <w:tcW w:type="dxa" w:w="1440"/>
          </w:tcPr>
          <w:p>
            <w:r>
              <w:rPr>
                <w:rFonts w:ascii="Calibri" w:hAnsi="Calibri"/>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Q4 2024 (Sep-24)</w:t>
            </w:r>
          </w:p>
        </w:tc>
        <w:tc>
          <w:tcPr>
            <w:tcW w:type="dxa" w:w="1440"/>
          </w:tcPr>
          <w:p>
            <w:r>
              <w:rPr>
                <w:rFonts w:ascii="Calibri" w:hAnsi="Calibri"/>
                <w:sz w:val="22"/>
              </w:rPr>
              <w:t>Adj. EPS</w:t>
            </w:r>
          </w:p>
        </w:tc>
        <w:tc>
          <w:tcPr>
            <w:tcW w:type="dxa" w:w="1440"/>
          </w:tcPr>
          <w:p>
            <w:r>
              <w:rPr>
                <w:rFonts w:ascii="Calibri" w:hAnsi="Calibri"/>
                <w:sz w:val="22"/>
              </w:rPr>
              <w:t>$2.71</w:t>
            </w:r>
          </w:p>
        </w:tc>
        <w:tc>
          <w:tcPr>
            <w:tcW w:type="dxa" w:w="1440"/>
          </w:tcPr>
          <w:p>
            <w:r>
              <w:rPr>
                <w:rFonts w:ascii="Calibri" w:hAnsi="Calibri"/>
                <w:sz w:val="22"/>
              </w:rPr>
              <w:t>$2.58</w:t>
            </w:r>
          </w:p>
        </w:tc>
        <w:tc>
          <w:tcPr>
            <w:tcW w:type="dxa" w:w="1440"/>
          </w:tcPr>
          <w:p>
            <w:r>
              <w:rPr>
                <w:rFonts w:ascii="Calibri" w:hAnsi="Calibri"/>
                <w:sz w:val="22"/>
              </w:rPr>
              <w:t>+5.0%</w:t>
            </w:r>
          </w:p>
        </w:tc>
        <w:tc>
          <w:tcPr>
            <w:tcW w:type="dxa" w:w="1440"/>
          </w:tcPr>
          <w:p>
            <w:r>
              <w:rPr>
                <w:rFonts w:ascii="Calibri" w:hAnsi="Calibri"/>
                <w:b/>
                <w:color w:val="30A46C"/>
                <w:sz w:val="22"/>
              </w:rPr>
              <w:t>Beat</w:t>
            </w:r>
          </w:p>
        </w:tc>
      </w:tr>
      <w:tr>
        <w:tc>
          <w:tcPr>
            <w:tcW w:type="dxa" w:w="1440"/>
          </w:tcPr>
          <w:p>
            <w:r>
              <w:rPr>
                <w:rFonts w:ascii="Calibri" w:hAnsi="Calibri"/>
                <w:sz w:val="22"/>
              </w:rPr>
              <w:t>Q1 2025 (Dec-24)</w:t>
            </w:r>
          </w:p>
        </w:tc>
        <w:tc>
          <w:tcPr>
            <w:tcW w:type="dxa" w:w="1440"/>
          </w:tcPr>
          <w:p>
            <w:r>
              <w:rPr>
                <w:rFonts w:ascii="Calibri" w:hAnsi="Calibri"/>
                <w:sz w:val="22"/>
              </w:rPr>
              <w:t>Net Revenue</w:t>
            </w:r>
          </w:p>
        </w:tc>
        <w:tc>
          <w:tcPr>
            <w:tcW w:type="dxa" w:w="1440"/>
          </w:tcPr>
          <w:p>
            <w:r>
              <w:rPr>
                <w:rFonts w:ascii="Calibri" w:hAnsi="Calibri"/>
                <w:sz w:val="22"/>
              </w:rPr>
              <w:t>$9.51B</w:t>
            </w:r>
          </w:p>
        </w:tc>
        <w:tc>
          <w:tcPr>
            <w:tcW w:type="dxa" w:w="1440"/>
          </w:tcPr>
          <w:p>
            <w:r>
              <w:rPr>
                <w:rFonts w:ascii="Calibri" w:hAnsi="Calibri"/>
                <w:sz w:val="22"/>
              </w:rPr>
              <w:t>$9.35B</w:t>
            </w:r>
          </w:p>
        </w:tc>
        <w:tc>
          <w:tcPr>
            <w:tcW w:type="dxa" w:w="1440"/>
          </w:tcPr>
          <w:p>
            <w:r>
              <w:rPr>
                <w:rFonts w:ascii="Calibri" w:hAnsi="Calibri"/>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Q1 2025 (Dec-24)</w:t>
            </w:r>
          </w:p>
        </w:tc>
        <w:tc>
          <w:tcPr>
            <w:tcW w:type="dxa" w:w="1440"/>
          </w:tcPr>
          <w:p>
            <w:r>
              <w:rPr>
                <w:rFonts w:ascii="Calibri" w:hAnsi="Calibri"/>
                <w:sz w:val="22"/>
              </w:rPr>
              <w:t>Adj. EPS</w:t>
            </w:r>
          </w:p>
        </w:tc>
        <w:tc>
          <w:tcPr>
            <w:tcW w:type="dxa" w:w="1440"/>
          </w:tcPr>
          <w:p>
            <w:r>
              <w:rPr>
                <w:rFonts w:ascii="Calibri" w:hAnsi="Calibri"/>
                <w:sz w:val="22"/>
              </w:rPr>
              <w:t>$2.75</w:t>
            </w:r>
          </w:p>
        </w:tc>
        <w:tc>
          <w:tcPr>
            <w:tcW w:type="dxa" w:w="1440"/>
          </w:tcPr>
          <w:p>
            <w:r>
              <w:rPr>
                <w:rFonts w:ascii="Calibri" w:hAnsi="Calibri"/>
                <w:sz w:val="22"/>
              </w:rPr>
              <w:t>$2.66</w:t>
            </w:r>
          </w:p>
        </w:tc>
        <w:tc>
          <w:tcPr>
            <w:tcW w:type="dxa" w:w="1440"/>
          </w:tcPr>
          <w:p>
            <w:r>
              <w:rPr>
                <w:rFonts w:ascii="Calibri" w:hAnsi="Calibri"/>
                <w:sz w:val="22"/>
              </w:rPr>
              <w:t>+3.4%</w:t>
            </w:r>
          </w:p>
        </w:tc>
        <w:tc>
          <w:tcPr>
            <w:tcW w:type="dxa" w:w="1440"/>
          </w:tcPr>
          <w:p>
            <w:r>
              <w:rPr>
                <w:rFonts w:ascii="Calibri" w:hAnsi="Calibri"/>
                <w:b/>
                <w:color w:val="30A46C"/>
                <w:sz w:val="22"/>
              </w:rPr>
              <w:t>Beat</w:t>
            </w:r>
          </w:p>
        </w:tc>
      </w:tr>
      <w:tr>
        <w:tc>
          <w:tcPr>
            <w:tcW w:type="dxa" w:w="1440"/>
          </w:tcPr>
          <w:p>
            <w:r>
              <w:rPr>
                <w:rFonts w:ascii="Calibri" w:hAnsi="Calibri"/>
                <w:sz w:val="22"/>
              </w:rPr>
              <w:t>Q2 2025 (Mar-25)</w:t>
            </w:r>
          </w:p>
        </w:tc>
        <w:tc>
          <w:tcPr>
            <w:tcW w:type="dxa" w:w="1440"/>
          </w:tcPr>
          <w:p>
            <w:r>
              <w:rPr>
                <w:rFonts w:ascii="Calibri" w:hAnsi="Calibri"/>
                <w:sz w:val="22"/>
              </w:rPr>
              <w:t>Net Revenue</w:t>
            </w:r>
          </w:p>
        </w:tc>
        <w:tc>
          <w:tcPr>
            <w:tcW w:type="dxa" w:w="1440"/>
          </w:tcPr>
          <w:p>
            <w:r>
              <w:rPr>
                <w:rFonts w:ascii="Calibri" w:hAnsi="Calibri"/>
                <w:sz w:val="22"/>
              </w:rPr>
              <w:t>$9.59B</w:t>
            </w:r>
          </w:p>
        </w:tc>
        <w:tc>
          <w:tcPr>
            <w:tcW w:type="dxa" w:w="1440"/>
          </w:tcPr>
          <w:p>
            <w:r>
              <w:rPr>
                <w:rFonts w:ascii="Calibri" w:hAnsi="Calibri"/>
                <w:sz w:val="22"/>
              </w:rPr>
              <w:t>$9.56B</w:t>
            </w:r>
          </w:p>
        </w:tc>
        <w:tc>
          <w:tcPr>
            <w:tcW w:type="dxa" w:w="1440"/>
          </w:tcPr>
          <w:p>
            <w:r>
              <w:rPr>
                <w:rFonts w:ascii="Calibri" w:hAnsi="Calibri"/>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Q2 2025 (Mar-25)</w:t>
            </w:r>
          </w:p>
        </w:tc>
        <w:tc>
          <w:tcPr>
            <w:tcW w:type="dxa" w:w="1440"/>
          </w:tcPr>
          <w:p>
            <w:r>
              <w:rPr>
                <w:rFonts w:ascii="Calibri" w:hAnsi="Calibri"/>
                <w:sz w:val="22"/>
              </w:rPr>
              <w:t>Adj. EPS</w:t>
            </w:r>
          </w:p>
        </w:tc>
        <w:tc>
          <w:tcPr>
            <w:tcW w:type="dxa" w:w="1440"/>
          </w:tcPr>
          <w:p>
            <w:r>
              <w:rPr>
                <w:rFonts w:ascii="Calibri" w:hAnsi="Calibri"/>
                <w:sz w:val="22"/>
              </w:rPr>
              <w:t>$2.76</w:t>
            </w:r>
          </w:p>
        </w:tc>
        <w:tc>
          <w:tcPr>
            <w:tcW w:type="dxa" w:w="1440"/>
          </w:tcPr>
          <w:p>
            <w:r>
              <w:rPr>
                <w:rFonts w:ascii="Calibri" w:hAnsi="Calibri"/>
                <w:sz w:val="22"/>
              </w:rPr>
              <w:t>$2.68</w:t>
            </w:r>
          </w:p>
        </w:tc>
        <w:tc>
          <w:tcPr>
            <w:tcW w:type="dxa" w:w="1440"/>
          </w:tcPr>
          <w:p>
            <w:r>
              <w:rPr>
                <w:rFonts w:ascii="Calibri" w:hAnsi="Calibri"/>
                <w:sz w:val="22"/>
              </w:rPr>
              <w:t>+3.0%</w:t>
            </w:r>
          </w:p>
        </w:tc>
        <w:tc>
          <w:tcPr>
            <w:tcW w:type="dxa" w:w="1440"/>
          </w:tcPr>
          <w:p>
            <w:r>
              <w:rPr>
                <w:rFonts w:ascii="Calibri" w:hAnsi="Calibri"/>
                <w:b/>
                <w:color w:val="30A46C"/>
                <w:sz w:val="22"/>
              </w:rPr>
              <w:t>Beat</w:t>
            </w:r>
          </w:p>
        </w:tc>
      </w:tr>
      <w:tr>
        <w:tc>
          <w:tcPr>
            <w:tcW w:type="dxa" w:w="1440"/>
          </w:tcPr>
          <w:p>
            <w:r>
              <w:rPr>
                <w:rFonts w:ascii="Calibri" w:hAnsi="Calibri"/>
                <w:sz w:val="22"/>
              </w:rPr>
              <w:t>Q3 2025 (Jun-25)</w:t>
            </w:r>
          </w:p>
        </w:tc>
        <w:tc>
          <w:tcPr>
            <w:tcW w:type="dxa" w:w="1440"/>
          </w:tcPr>
          <w:p>
            <w:r>
              <w:rPr>
                <w:rFonts w:ascii="Calibri" w:hAnsi="Calibri"/>
                <w:sz w:val="22"/>
              </w:rPr>
              <w:t>Net Revenue</w:t>
            </w:r>
          </w:p>
        </w:tc>
        <w:tc>
          <w:tcPr>
            <w:tcW w:type="dxa" w:w="1440"/>
          </w:tcPr>
          <w:p>
            <w:r>
              <w:rPr>
                <w:rFonts w:ascii="Calibri" w:hAnsi="Calibri"/>
                <w:sz w:val="22"/>
              </w:rPr>
              <w:t>$10.17B</w:t>
            </w:r>
          </w:p>
        </w:tc>
        <w:tc>
          <w:tcPr>
            <w:tcW w:type="dxa" w:w="1440"/>
          </w:tcPr>
          <w:p>
            <w:r>
              <w:rPr>
                <w:rFonts w:ascii="Calibri" w:hAnsi="Calibri"/>
                <w:sz w:val="22"/>
              </w:rPr>
              <w:t>$9.84B</w:t>
            </w:r>
          </w:p>
        </w:tc>
        <w:tc>
          <w:tcPr>
            <w:tcW w:type="dxa" w:w="1440"/>
          </w:tcPr>
          <w:p>
            <w:r>
              <w:rPr>
                <w:rFonts w:ascii="Calibri" w:hAnsi="Calibri"/>
                <w:sz w:val="22"/>
              </w:rPr>
              <w:t>+3.4%</w:t>
            </w:r>
          </w:p>
        </w:tc>
        <w:tc>
          <w:tcPr>
            <w:tcW w:type="dxa" w:w="1440"/>
          </w:tcPr>
          <w:p>
            <w:r>
              <w:rPr>
                <w:rFonts w:ascii="Calibri" w:hAnsi="Calibri"/>
                <w:b/>
                <w:color w:val="30A46C"/>
                <w:sz w:val="22"/>
              </w:rPr>
              <w:t>Beat</w:t>
            </w:r>
          </w:p>
        </w:tc>
      </w:tr>
      <w:tr>
        <w:tc>
          <w:tcPr>
            <w:tcW w:type="dxa" w:w="1440"/>
          </w:tcPr>
          <w:p>
            <w:r>
              <w:rPr>
                <w:rFonts w:ascii="Calibri" w:hAnsi="Calibri"/>
                <w:sz w:val="22"/>
              </w:rPr>
              <w:t>Q3 2025 (Jun-25)</w:t>
            </w:r>
          </w:p>
        </w:tc>
        <w:tc>
          <w:tcPr>
            <w:tcW w:type="dxa" w:w="1440"/>
          </w:tcPr>
          <w:p>
            <w:r>
              <w:rPr>
                <w:rFonts w:ascii="Calibri" w:hAnsi="Calibri"/>
                <w:sz w:val="22"/>
              </w:rPr>
              <w:t>Adj. EPS</w:t>
            </w:r>
          </w:p>
        </w:tc>
        <w:tc>
          <w:tcPr>
            <w:tcW w:type="dxa" w:w="1440"/>
          </w:tcPr>
          <w:p>
            <w:r>
              <w:rPr>
                <w:rFonts w:ascii="Calibri" w:hAnsi="Calibri"/>
                <w:sz w:val="22"/>
              </w:rPr>
              <w:t>$2.98</w:t>
            </w:r>
          </w:p>
        </w:tc>
        <w:tc>
          <w:tcPr>
            <w:tcW w:type="dxa" w:w="1440"/>
          </w:tcPr>
          <w:p>
            <w:r>
              <w:rPr>
                <w:rFonts w:ascii="Calibri" w:hAnsi="Calibri"/>
                <w:sz w:val="22"/>
              </w:rPr>
              <w:t>$2.85</w:t>
            </w:r>
          </w:p>
        </w:tc>
        <w:tc>
          <w:tcPr>
            <w:tcW w:type="dxa" w:w="1440"/>
          </w:tcPr>
          <w:p>
            <w:r>
              <w:rPr>
                <w:rFonts w:ascii="Calibri" w:hAnsi="Calibri"/>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Q4 2025 (Sep-25)</w:t>
            </w:r>
          </w:p>
        </w:tc>
        <w:tc>
          <w:tcPr>
            <w:tcW w:type="dxa" w:w="1440"/>
          </w:tcPr>
          <w:p>
            <w:r>
              <w:rPr>
                <w:rFonts w:ascii="Calibri" w:hAnsi="Calibri"/>
                <w:sz w:val="22"/>
              </w:rPr>
              <w:t>Net Revenue</w:t>
            </w:r>
          </w:p>
        </w:tc>
        <w:tc>
          <w:tcPr>
            <w:tcW w:type="dxa" w:w="1440"/>
          </w:tcPr>
          <w:p>
            <w:r>
              <w:rPr>
                <w:rFonts w:ascii="Calibri" w:hAnsi="Calibri"/>
                <w:sz w:val="22"/>
              </w:rPr>
              <w:t>$10.72B</w:t>
            </w:r>
          </w:p>
        </w:tc>
        <w:tc>
          <w:tcPr>
            <w:tcW w:type="dxa" w:w="1440"/>
          </w:tcPr>
          <w:p>
            <w:r>
              <w:rPr>
                <w:rFonts w:ascii="Calibri" w:hAnsi="Calibri"/>
                <w:sz w:val="22"/>
              </w:rPr>
              <w:t>$10.61B</w:t>
            </w:r>
          </w:p>
        </w:tc>
        <w:tc>
          <w:tcPr>
            <w:tcW w:type="dxa" w:w="1440"/>
          </w:tcPr>
          <w:p>
            <w:r>
              <w:rPr>
                <w:rFonts w:ascii="Calibri" w:hAnsi="Calibri"/>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Q4 2025 (Sep-25)</w:t>
            </w:r>
          </w:p>
        </w:tc>
        <w:tc>
          <w:tcPr>
            <w:tcW w:type="dxa" w:w="1440"/>
          </w:tcPr>
          <w:p>
            <w:r>
              <w:rPr>
                <w:rFonts w:ascii="Calibri" w:hAnsi="Calibri"/>
                <w:sz w:val="22"/>
              </w:rPr>
              <w:t>Adj. EPS</w:t>
            </w:r>
          </w:p>
        </w:tc>
        <w:tc>
          <w:tcPr>
            <w:tcW w:type="dxa" w:w="1440"/>
          </w:tcPr>
          <w:p>
            <w:r>
              <w:rPr>
                <w:rFonts w:ascii="Calibri" w:hAnsi="Calibri"/>
                <w:sz w:val="22"/>
              </w:rPr>
              <w:t>$2.98</w:t>
            </w:r>
          </w:p>
        </w:tc>
        <w:tc>
          <w:tcPr>
            <w:tcW w:type="dxa" w:w="1440"/>
          </w:tcPr>
          <w:p>
            <w:r>
              <w:rPr>
                <w:rFonts w:ascii="Calibri" w:hAnsi="Calibri"/>
                <w:sz w:val="22"/>
              </w:rPr>
              <w:t>$2.97</w:t>
            </w:r>
          </w:p>
        </w:tc>
        <w:tc>
          <w:tcPr>
            <w:tcW w:type="dxa" w:w="1440"/>
          </w:tcPr>
          <w:p>
            <w:r>
              <w:rPr>
                <w:rFonts w:ascii="Calibri" w:hAnsi="Calibri"/>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Q1 2026 (Dec-25)</w:t>
            </w:r>
          </w:p>
        </w:tc>
        <w:tc>
          <w:tcPr>
            <w:tcW w:type="dxa" w:w="1440"/>
          </w:tcPr>
          <w:p>
            <w:r>
              <w:rPr>
                <w:rFonts w:ascii="Calibri" w:hAnsi="Calibri"/>
                <w:sz w:val="22"/>
              </w:rPr>
              <w:t>Net Revenue</w:t>
            </w:r>
          </w:p>
        </w:tc>
        <w:tc>
          <w:tcPr>
            <w:tcW w:type="dxa" w:w="1440"/>
          </w:tcPr>
          <w:p>
            <w:r>
              <w:rPr>
                <w:rFonts w:ascii="Calibri" w:hAnsi="Calibri"/>
                <w:sz w:val="22"/>
              </w:rPr>
              <w:t>$10.90B</w:t>
            </w:r>
          </w:p>
        </w:tc>
        <w:tc>
          <w:tcPr>
            <w:tcW w:type="dxa" w:w="1440"/>
          </w:tcPr>
          <w:p>
            <w:r>
              <w:rPr>
                <w:rFonts w:ascii="Calibri" w:hAnsi="Calibri"/>
                <w:sz w:val="22"/>
              </w:rPr>
              <w:t>$10.69B</w:t>
            </w:r>
          </w:p>
        </w:tc>
        <w:tc>
          <w:tcPr>
            <w:tcW w:type="dxa" w:w="1440"/>
          </w:tcPr>
          <w:p>
            <w:r>
              <w:rPr>
                <w:rFonts w:ascii="Calibri" w:hAnsi="Calibri"/>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Q1 2026 (Dec-25)</w:t>
            </w:r>
          </w:p>
        </w:tc>
        <w:tc>
          <w:tcPr>
            <w:tcW w:type="dxa" w:w="1440"/>
          </w:tcPr>
          <w:p>
            <w:r>
              <w:rPr>
                <w:rFonts w:ascii="Calibri" w:hAnsi="Calibri"/>
                <w:sz w:val="22"/>
              </w:rPr>
              <w:t>Adj. EPS</w:t>
            </w:r>
          </w:p>
        </w:tc>
        <w:tc>
          <w:tcPr>
            <w:tcW w:type="dxa" w:w="1440"/>
          </w:tcPr>
          <w:p>
            <w:r>
              <w:rPr>
                <w:rFonts w:ascii="Calibri" w:hAnsi="Calibri"/>
                <w:sz w:val="22"/>
              </w:rPr>
              <w:t>$3.17</w:t>
            </w:r>
          </w:p>
        </w:tc>
        <w:tc>
          <w:tcPr>
            <w:tcW w:type="dxa" w:w="1440"/>
          </w:tcPr>
          <w:p>
            <w:r>
              <w:rPr>
                <w:rFonts w:ascii="Calibri" w:hAnsi="Calibri"/>
                <w:sz w:val="22"/>
              </w:rPr>
              <w:t>$3.14</w:t>
            </w:r>
          </w:p>
        </w:tc>
        <w:tc>
          <w:tcPr>
            <w:tcW w:type="dxa" w:w="1440"/>
          </w:tcPr>
          <w:p>
            <w:r>
              <w:rPr>
                <w:rFonts w:ascii="Calibri" w:hAnsi="Calibri"/>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Q2 2026 (Mar-26)</w:t>
            </w:r>
          </w:p>
        </w:tc>
        <w:tc>
          <w:tcPr>
            <w:tcW w:type="dxa" w:w="1440"/>
          </w:tcPr>
          <w:p>
            <w:r>
              <w:rPr>
                <w:rFonts w:ascii="Calibri" w:hAnsi="Calibri"/>
                <w:sz w:val="22"/>
              </w:rPr>
              <w:t>Net Revenue</w:t>
            </w:r>
          </w:p>
        </w:tc>
        <w:tc>
          <w:tcPr>
            <w:tcW w:type="dxa" w:w="1440"/>
          </w:tcPr>
          <w:p>
            <w:r>
              <w:rPr>
                <w:rFonts w:ascii="Calibri" w:hAnsi="Calibri"/>
                <w:sz w:val="22"/>
              </w:rPr>
              <w:t>$11.23B</w:t>
            </w:r>
          </w:p>
        </w:tc>
        <w:tc>
          <w:tcPr>
            <w:tcW w:type="dxa" w:w="1440"/>
          </w:tcPr>
          <w:p>
            <w:r>
              <w:rPr>
                <w:rFonts w:ascii="Calibri" w:hAnsi="Calibri"/>
                <w:sz w:val="22"/>
              </w:rPr>
              <w:t>$10.75B</w:t>
            </w:r>
          </w:p>
        </w:tc>
        <w:tc>
          <w:tcPr>
            <w:tcW w:type="dxa" w:w="1440"/>
          </w:tcPr>
          <w:p>
            <w:r>
              <w:rPr>
                <w:rFonts w:ascii="Calibri" w:hAnsi="Calibri"/>
                <w:sz w:val="22"/>
              </w:rPr>
              <w:t>+4.5%</w:t>
            </w:r>
          </w:p>
        </w:tc>
        <w:tc>
          <w:tcPr>
            <w:tcW w:type="dxa" w:w="1440"/>
          </w:tcPr>
          <w:p>
            <w:r>
              <w:rPr>
                <w:rFonts w:ascii="Calibri" w:hAnsi="Calibri"/>
                <w:b/>
                <w:color w:val="30A46C"/>
                <w:sz w:val="22"/>
              </w:rPr>
              <w:t>Beat</w:t>
            </w:r>
          </w:p>
        </w:tc>
      </w:tr>
      <w:tr>
        <w:tc>
          <w:tcPr>
            <w:tcW w:type="dxa" w:w="1440"/>
          </w:tcPr>
          <w:p>
            <w:r>
              <w:rPr>
                <w:rFonts w:ascii="Calibri" w:hAnsi="Calibri"/>
                <w:sz w:val="22"/>
              </w:rPr>
              <w:t>Q2 2026 (Mar-26)</w:t>
            </w:r>
          </w:p>
        </w:tc>
        <w:tc>
          <w:tcPr>
            <w:tcW w:type="dxa" w:w="1440"/>
          </w:tcPr>
          <w:p>
            <w:r>
              <w:rPr>
                <w:rFonts w:ascii="Calibri" w:hAnsi="Calibri"/>
                <w:sz w:val="22"/>
              </w:rPr>
              <w:t>Adj. EPS</w:t>
            </w:r>
          </w:p>
        </w:tc>
        <w:tc>
          <w:tcPr>
            <w:tcW w:type="dxa" w:w="1440"/>
          </w:tcPr>
          <w:p>
            <w:r>
              <w:rPr>
                <w:rFonts w:ascii="Calibri" w:hAnsi="Calibri"/>
                <w:sz w:val="22"/>
              </w:rPr>
              <w:t>$3.31</w:t>
            </w:r>
          </w:p>
        </w:tc>
        <w:tc>
          <w:tcPr>
            <w:tcW w:type="dxa" w:w="1440"/>
          </w:tcPr>
          <w:p>
            <w:r>
              <w:rPr>
                <w:rFonts w:ascii="Calibri" w:hAnsi="Calibri"/>
                <w:sz w:val="22"/>
              </w:rPr>
              <w:t>$3.10</w:t>
            </w:r>
          </w:p>
        </w:tc>
        <w:tc>
          <w:tcPr>
            <w:tcW w:type="dxa" w:w="1440"/>
          </w:tcPr>
          <w:p>
            <w:r>
              <w:rPr>
                <w:rFonts w:ascii="Calibri" w:hAnsi="Calibri"/>
                <w:sz w:val="22"/>
              </w:rPr>
              <w:t>+6.8%</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Visa has beaten consensus on both Net Revenue and Adj. EPS in each of the last 8 quarters, with revenue surprise magnitude ranging from +0.3% to +4.5% and EPS surprise from +0.5% to +6.8%; the Q2 2026 print was the largest beat in the trailing 8-quarter window on both metrics, setting a high bar for Q3 where management has explicitly guided for the weakest growth quarter of the year.</w:t>
      </w:r>
    </w:p>
    <w:p>
      <w:r>
        <w:rPr>
          <w:rFonts w:ascii="Calibri" w:hAnsi="Calibri"/>
          <w:b/>
          <w:color w:val="525866"/>
          <w:sz w:val="22"/>
        </w:rPr>
        <w:t xml:space="preserve">Source: </w:t>
      </w:r>
      <w:r>
        <w:rPr>
          <w:rFonts w:ascii="Calibri" w:hAnsi="Calibri"/>
          <w:color w:val="525866"/>
          <w:sz w:val="22"/>
        </w:rPr>
        <w:t>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Q2 earnings call on April 28, 2026. Management's tone at subsequent conferences (JP Morgan May 19, Bernstein May 28, Baird June 3) was constructive and consistent with the original Q3 and FY26 framework, with intra-quarter volume data through mid-May showing improvement across all key metrics.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2026 Earnings Call,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Net Revenue Growth</w:t>
            </w:r>
          </w:p>
        </w:tc>
        <w:tc>
          <w:tcPr>
            <w:tcW w:type="dxa" w:w="1728"/>
          </w:tcPr>
          <w:p>
            <w:r>
              <w:rPr>
                <w:rFonts w:ascii="Calibri" w:hAnsi="Calibri"/>
                <w:sz w:val="22"/>
              </w:rPr>
              <w:t>Low double digits (guided as lowest growth quarter of year)</w:t>
            </w:r>
          </w:p>
        </w:tc>
        <w:tc>
          <w:tcPr>
            <w:tcW w:type="dxa" w:w="1728"/>
          </w:tcPr>
          <w:p>
            <w:r>
              <w:rPr>
                <w:rFonts w:ascii="Calibri" w:hAnsi="Calibri"/>
                <w:sz w:val="22"/>
              </w:rPr>
              <w:t>—</w:t>
            </w:r>
          </w:p>
        </w:tc>
        <w:tc>
          <w:tcPr>
            <w:tcW w:type="dxa" w:w="1728"/>
          </w:tcPr>
          <w:p>
            <w:r>
              <w:rPr>
                <w:rFonts w:ascii="Calibri" w:hAnsi="Calibri"/>
                <w:sz w:val="22"/>
              </w:rPr>
              <w:t>~+12.0% YoY ($11.39B)</w:t>
            </w:r>
          </w:p>
        </w:tc>
        <w:tc>
          <w:tcPr>
            <w:tcW w:type="dxa" w:w="1728"/>
          </w:tcPr>
          <w:p>
            <w:r>
              <w:rPr>
                <w:rFonts w:ascii="Calibri" w:hAnsi="Calibri"/>
                <w:sz w:val="22"/>
              </w:rPr>
              <w:t>No post-earnings revision. CFO at JP Morgan (May 19) confirmed intra-quarter trends through May 14 showed improvement across all levers vs. April 21 data point.</w:t>
            </w:r>
          </w:p>
        </w:tc>
      </w:tr>
      <w:tr>
        <w:tc>
          <w:tcPr>
            <w:tcW w:type="dxa" w:w="1728"/>
          </w:tcPr>
          <w:p>
            <w:r>
              <w:rPr>
                <w:rFonts w:ascii="Calibri" w:hAnsi="Calibri"/>
                <w:sz w:val="22"/>
              </w:rPr>
              <w:t>Q3 EPS Growth (Adj.)</w:t>
            </w:r>
          </w:p>
        </w:tc>
        <w:tc>
          <w:tcPr>
            <w:tcW w:type="dxa" w:w="1728"/>
          </w:tcPr>
          <w:p>
            <w:r>
              <w:rPr>
                <w:rFonts w:ascii="Calibri" w:hAnsi="Calibri"/>
                <w:sz w:val="22"/>
              </w:rPr>
              <w:t>Mid-to-high single digits</w:t>
            </w:r>
          </w:p>
        </w:tc>
        <w:tc>
          <w:tcPr>
            <w:tcW w:type="dxa" w:w="1728"/>
          </w:tcPr>
          <w:p>
            <w:r>
              <w:rPr>
                <w:rFonts w:ascii="Calibri" w:hAnsi="Calibri"/>
                <w:sz w:val="22"/>
              </w:rPr>
              <w:t>—</w:t>
            </w:r>
          </w:p>
        </w:tc>
        <w:tc>
          <w:tcPr>
            <w:tcW w:type="dxa" w:w="1728"/>
          </w:tcPr>
          <w:p>
            <w:r>
              <w:rPr>
                <w:rFonts w:ascii="Calibri" w:hAnsi="Calibri"/>
                <w:sz w:val="22"/>
              </w:rPr>
              <w:t>~+8.4% YoY ($3.23)</w:t>
            </w:r>
          </w:p>
        </w:tc>
        <w:tc>
          <w:tcPr>
            <w:tcW w:type="dxa" w:w="1728"/>
          </w:tcPr>
          <w:p>
            <w:r>
              <w:rPr>
                <w:rFonts w:ascii="Calibri" w:hAnsi="Calibri"/>
                <w:sz w:val="22"/>
              </w:rPr>
              <w:t>No post-earnings revision. Consensus sits at the high end of the guided range.</w:t>
            </w:r>
          </w:p>
        </w:tc>
      </w:tr>
      <w:tr>
        <w:tc>
          <w:tcPr>
            <w:tcW w:type="dxa" w:w="1728"/>
          </w:tcPr>
          <w:p>
            <w:r>
              <w:rPr>
                <w:rFonts w:ascii="Calibri" w:hAnsi="Calibri"/>
                <w:sz w:val="22"/>
              </w:rPr>
              <w:t>Q3 Operating Expense Growth</w:t>
            </w:r>
          </w:p>
        </w:tc>
        <w:tc>
          <w:tcPr>
            <w:tcW w:type="dxa" w:w="1728"/>
          </w:tcPr>
          <w:p>
            <w:r>
              <w:rPr>
                <w:rFonts w:ascii="Calibri" w:hAnsi="Calibri"/>
                <w:sz w:val="22"/>
              </w:rPr>
              <w:t>Low teens; slight step-up from Q2 due to FIFA marketing</w:t>
            </w:r>
          </w:p>
        </w:tc>
        <w:tc>
          <w:tcPr>
            <w:tcW w:type="dxa" w:w="1728"/>
          </w:tcPr>
          <w:p>
            <w:r>
              <w:rPr>
                <w:rFonts w:ascii="Calibri" w:hAnsi="Calibri"/>
                <w:sz w:val="22"/>
              </w:rPr>
              <w:t>—</w:t>
            </w:r>
          </w:p>
        </w:tc>
        <w:tc>
          <w:tcPr>
            <w:tcW w:type="dxa" w:w="1728"/>
          </w:tcPr>
          <w:p>
            <w:r>
              <w:rPr>
                <w:rFonts w:ascii="Calibri" w:hAnsi="Calibri"/>
                <w:sz w:val="22"/>
              </w:rPr>
              <w:t>N/A — not tracked separately in VA consensus</w:t>
            </w:r>
          </w:p>
        </w:tc>
        <w:tc>
          <w:tcPr>
            <w:tcW w:type="dxa" w:w="1728"/>
          </w:tcPr>
          <w:p>
            <w:r>
              <w:rPr>
                <w:rFonts w:ascii="Calibri" w:hAnsi="Calibri"/>
                <w:sz w:val="22"/>
              </w:rPr>
              <w:t>No revision. FIFA-related marketing spend is the primary driver of the step-up.</w:t>
            </w:r>
          </w:p>
        </w:tc>
      </w:tr>
      <w:tr>
        <w:tc>
          <w:tcPr>
            <w:tcW w:type="dxa" w:w="1728"/>
          </w:tcPr>
          <w:p>
            <w:r>
              <w:rPr>
                <w:rFonts w:ascii="Calibri" w:hAnsi="Calibri"/>
                <w:sz w:val="22"/>
              </w:rPr>
              <w:t>Q3 Non-Operating Expense</w:t>
            </w:r>
          </w:p>
        </w:tc>
        <w:tc>
          <w:tcPr>
            <w:tcW w:type="dxa" w:w="1728"/>
          </w:tcPr>
          <w:p>
            <w:r>
              <w:rPr>
                <w:rFonts w:ascii="Calibri" w:hAnsi="Calibri"/>
                <w:sz w:val="22"/>
              </w:rPr>
              <w:t>~$55M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revision.</w:t>
            </w:r>
          </w:p>
        </w:tc>
      </w:tr>
      <w:tr>
        <w:tc>
          <w:tcPr>
            <w:tcW w:type="dxa" w:w="1728"/>
          </w:tcPr>
          <w:p>
            <w:r>
              <w:rPr>
                <w:rFonts w:ascii="Calibri" w:hAnsi="Calibri"/>
                <w:sz w:val="22"/>
              </w:rPr>
              <w:t>Q3 Tax Rate</w:t>
            </w:r>
          </w:p>
        </w:tc>
        <w:tc>
          <w:tcPr>
            <w:tcW w:type="dxa" w:w="1728"/>
          </w:tcPr>
          <w:p>
            <w:r>
              <w:rPr>
                <w:rFonts w:ascii="Calibri" w:hAnsi="Calibri"/>
                <w:sz w:val="22"/>
              </w:rPr>
              <w:t>~18.5%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revision.</w:t>
            </w:r>
          </w:p>
        </w:tc>
      </w:tr>
      <w:tr>
        <w:tc>
          <w:tcPr>
            <w:tcW w:type="dxa" w:w="1728"/>
          </w:tcPr>
          <w:p>
            <w:r>
              <w:rPr>
                <w:rFonts w:ascii="Calibri" w:hAnsi="Calibri"/>
                <w:sz w:val="22"/>
              </w:rPr>
              <w:t>FY26 Net Revenue Growth</w:t>
            </w:r>
          </w:p>
        </w:tc>
        <w:tc>
          <w:tcPr>
            <w:tcW w:type="dxa" w:w="1728"/>
          </w:tcPr>
          <w:p>
            <w:r>
              <w:rPr>
                <w:rFonts w:ascii="Calibri" w:hAnsi="Calibri"/>
                <w:sz w:val="22"/>
              </w:rPr>
              <w:t>Low double-digit to low teens (raised from prior outlook at Q2 print)</w:t>
            </w:r>
          </w:p>
        </w:tc>
        <w:tc>
          <w:tcPr>
            <w:tcW w:type="dxa" w:w="1728"/>
          </w:tcPr>
          <w:p>
            <w:r>
              <w:rPr>
                <w:rFonts w:ascii="Calibri" w:hAnsi="Calibri"/>
                <w:sz w:val="22"/>
              </w:rPr>
              <w:t>—</w:t>
            </w:r>
          </w:p>
        </w:tc>
        <w:tc>
          <w:tcPr>
            <w:tcW w:type="dxa" w:w="1728"/>
          </w:tcPr>
          <w:p>
            <w:r>
              <w:rPr>
                <w:rFonts w:ascii="Calibri" w:hAnsi="Calibri"/>
                <w:sz w:val="22"/>
              </w:rPr>
              <w:t>~+12.0% YoY ($45.58B)</w:t>
            </w:r>
          </w:p>
        </w:tc>
        <w:tc>
          <w:tcPr>
            <w:tcW w:type="dxa" w:w="1728"/>
          </w:tcPr>
          <w:p>
            <w:r>
              <w:rPr>
                <w:rFonts w:ascii="Calibri" w:hAnsi="Calibri"/>
                <w:sz w:val="22"/>
              </w:rPr>
              <w:t>No post-earnings revision. Raised at Q2 earnings call; incorporates FIFA tailwind and stronger VAS.</w:t>
            </w:r>
          </w:p>
        </w:tc>
      </w:tr>
      <w:tr>
        <w:tc>
          <w:tcPr>
            <w:tcW w:type="dxa" w:w="1728"/>
          </w:tcPr>
          <w:p>
            <w:r>
              <w:rPr>
                <w:rFonts w:ascii="Calibri" w:hAnsi="Calibri"/>
                <w:sz w:val="22"/>
              </w:rPr>
              <w:t>FY26 EPS Growth (Adj.)</w:t>
            </w:r>
          </w:p>
        </w:tc>
        <w:tc>
          <w:tcPr>
            <w:tcW w:type="dxa" w:w="1728"/>
          </w:tcPr>
          <w:p>
            <w:r>
              <w:rPr>
                <w:rFonts w:ascii="Calibri" w:hAnsi="Calibri"/>
                <w:sz w:val="22"/>
              </w:rPr>
              <w:t>Low teens (raised from prior outlook at Q2 print)</w:t>
            </w:r>
          </w:p>
        </w:tc>
        <w:tc>
          <w:tcPr>
            <w:tcW w:type="dxa" w:w="1728"/>
          </w:tcPr>
          <w:p>
            <w:r>
              <w:rPr>
                <w:rFonts w:ascii="Calibri" w:hAnsi="Calibri"/>
                <w:sz w:val="22"/>
              </w:rPr>
              <w:t>—</w:t>
            </w:r>
          </w:p>
        </w:tc>
        <w:tc>
          <w:tcPr>
            <w:tcW w:type="dxa" w:w="1728"/>
          </w:tcPr>
          <w:p>
            <w:r>
              <w:rPr>
                <w:rFonts w:ascii="Calibri" w:hAnsi="Calibri"/>
                <w:sz w:val="22"/>
              </w:rPr>
              <w:t>~+13.2% YoY ($13.15)</w:t>
            </w:r>
          </w:p>
        </w:tc>
        <w:tc>
          <w:tcPr>
            <w:tcW w:type="dxa" w:w="1728"/>
          </w:tcPr>
          <w:p>
            <w:r>
              <w:rPr>
                <w:rFonts w:ascii="Calibri" w:hAnsi="Calibri"/>
                <w:sz w:val="22"/>
              </w:rPr>
              <w:t>No post-earnings revision. Raised at Q2 earnings call.</w:t>
            </w:r>
          </w:p>
        </w:tc>
      </w:tr>
      <w:tr>
        <w:tc>
          <w:tcPr>
            <w:tcW w:type="dxa" w:w="1728"/>
          </w:tcPr>
          <w:p>
            <w:r>
              <w:rPr>
                <w:rFonts w:ascii="Calibri" w:hAnsi="Calibri"/>
                <w:sz w:val="22"/>
              </w:rPr>
              <w:t>Client Incentives (Q3)</w:t>
            </w:r>
          </w:p>
        </w:tc>
        <w:tc>
          <w:tcPr>
            <w:tcW w:type="dxa" w:w="1728"/>
          </w:tcPr>
          <w:p>
            <w:r>
              <w:rPr>
                <w:rFonts w:ascii="Calibri" w:hAnsi="Calibri"/>
                <w:sz w:val="22"/>
              </w:rPr>
              <w:t>Step-up from Q2; lapping Q3 2025 low point</w:t>
            </w:r>
          </w:p>
        </w:tc>
        <w:tc>
          <w:tcPr>
            <w:tcW w:type="dxa" w:w="1728"/>
          </w:tcPr>
          <w:p>
            <w:r>
              <w:rPr>
                <w:rFonts w:ascii="Calibri" w:hAnsi="Calibri"/>
                <w:sz w:val="22"/>
              </w:rPr>
              <w:t>—</w:t>
            </w:r>
          </w:p>
        </w:tc>
        <w:tc>
          <w:tcPr>
            <w:tcW w:type="dxa" w:w="1728"/>
          </w:tcPr>
          <w:p>
            <w:r>
              <w:rPr>
                <w:rFonts w:ascii="Calibri" w:hAnsi="Calibri"/>
                <w:sz w:val="22"/>
              </w:rPr>
              <w:t>-$4.62B</w:t>
            </w:r>
          </w:p>
        </w:tc>
        <w:tc>
          <w:tcPr>
            <w:tcW w:type="dxa" w:w="1728"/>
          </w:tcPr>
          <w:p>
            <w:r>
              <w:rPr>
                <w:rFonts w:ascii="Calibri" w:hAnsi="Calibri"/>
                <w:sz w:val="22"/>
              </w:rPr>
              <w:t>No revision. Guided step-up driven by deal timing and lapping Q3 2025 low.</w:t>
            </w:r>
          </w:p>
        </w:tc>
      </w:tr>
    </w:tbl>
    <w:p>
      <w:r>
        <w:rPr>
          <w:rFonts w:ascii="Calibri" w:hAnsi="Calibri"/>
          <w:b/>
          <w:color w:val="525866"/>
          <w:sz w:val="22"/>
        </w:rPr>
        <w:t xml:space="preserve">Sources: </w:t>
      </w:r>
      <w:r>
        <w:rPr>
          <w:rFonts w:ascii="Calibri" w:hAnsi="Calibri"/>
          <w:color w:val="525866"/>
          <w:sz w:val="22"/>
        </w:rPr>
        <w:t>Visa Q2 2026 Earnings Call transcript (April 28, 2026); JP Morgan Global Technology, Media and Communications Conference transcript (May 19, 2026); Bernstein Strategic Decisions Conference transcript (May 28, 2026); Baird Global Consumer, Tech &amp; Services Conference transcript (June 3, 2026). Visible Alpha Consensus and Actuals Data for current consensus figures.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Q3 2026 and FY26 have been revised modestly higher since the Q2 print, tracking closely with management's raised guidance. The gap between consensus and guidance is narrow, suggesting the Street has largely priced in the guided step-down — any upside would need to come from cross-border volumes or VAS outperforming the guided framework.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Print (c.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 — Q3 2026</w:t>
            </w:r>
          </w:p>
        </w:tc>
        <w:tc>
          <w:tcPr>
            <w:tcW w:type="dxa" w:w="1080"/>
          </w:tcPr>
          <w:p>
            <w:r>
              <w:rPr>
                <w:rFonts w:ascii="Calibri" w:hAnsi="Calibri"/>
                <w:sz w:val="22"/>
              </w:rPr>
              <w:t>$11.37B</w:t>
            </w:r>
          </w:p>
        </w:tc>
        <w:tc>
          <w:tcPr>
            <w:tcW w:type="dxa" w:w="1080"/>
          </w:tcPr>
          <w:p>
            <w:r>
              <w:rPr>
                <w:rFonts w:ascii="Calibri" w:hAnsi="Calibri"/>
                <w:sz w:val="22"/>
              </w:rPr>
              <w:t>$11.39B</w:t>
            </w:r>
          </w:p>
        </w:tc>
        <w:tc>
          <w:tcPr>
            <w:tcW w:type="dxa" w:w="1080"/>
          </w:tcPr>
          <w:p>
            <w:r>
              <w:rPr>
                <w:rFonts w:ascii="Calibri" w:hAnsi="Calibri"/>
                <w:sz w:val="22"/>
              </w:rPr>
              <w:t>+0.2%</w:t>
            </w:r>
          </w:p>
        </w:tc>
        <w:tc>
          <w:tcPr>
            <w:tcW w:type="dxa" w:w="1080"/>
          </w:tcPr>
          <w:p>
            <w:r>
              <w:rPr>
                <w:rFonts w:ascii="Calibri" w:hAnsi="Calibri"/>
                <w:sz w:val="22"/>
              </w:rPr>
              <w:t>Low double-digit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 with midpoint</w:t>
            </w:r>
          </w:p>
        </w:tc>
      </w:tr>
      <w:tr>
        <w:tc>
          <w:tcPr>
            <w:tcW w:type="dxa" w:w="1080"/>
          </w:tcPr>
          <w:p>
            <w:r>
              <w:rPr>
                <w:rFonts w:ascii="Calibri" w:hAnsi="Calibri"/>
                <w:sz w:val="22"/>
              </w:rPr>
              <w:t>Adj. EPS — Q3 2026</w:t>
            </w:r>
          </w:p>
        </w:tc>
        <w:tc>
          <w:tcPr>
            <w:tcW w:type="dxa" w:w="1080"/>
          </w:tcPr>
          <w:p>
            <w:r>
              <w:rPr>
                <w:rFonts w:ascii="Calibri" w:hAnsi="Calibri"/>
                <w:sz w:val="22"/>
              </w:rPr>
              <w:t>$3.22</w:t>
            </w:r>
          </w:p>
        </w:tc>
        <w:tc>
          <w:tcPr>
            <w:tcW w:type="dxa" w:w="1080"/>
          </w:tcPr>
          <w:p>
            <w:r>
              <w:rPr>
                <w:rFonts w:ascii="Calibri" w:hAnsi="Calibri"/>
                <w:sz w:val="22"/>
              </w:rPr>
              <w:t>$3.23</w:t>
            </w:r>
          </w:p>
        </w:tc>
        <w:tc>
          <w:tcPr>
            <w:tcW w:type="dxa" w:w="1080"/>
          </w:tcPr>
          <w:p>
            <w:r>
              <w:rPr>
                <w:rFonts w:ascii="Calibri" w:hAnsi="Calibri"/>
                <w:sz w:val="22"/>
              </w:rPr>
              <w:t>+0.3%</w:t>
            </w:r>
          </w:p>
        </w:tc>
        <w:tc>
          <w:tcPr>
            <w:tcW w:type="dxa" w:w="1080"/>
          </w:tcPr>
          <w:p>
            <w:r>
              <w:rPr>
                <w:rFonts w:ascii="Calibri" w:hAnsi="Calibri"/>
                <w:sz w:val="22"/>
              </w:rPr>
              <w:t>Mid-to-high single-digit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high end of guided range</w:t>
            </w:r>
          </w:p>
        </w:tc>
      </w:tr>
      <w:tr>
        <w:tc>
          <w:tcPr>
            <w:tcW w:type="dxa" w:w="1080"/>
          </w:tcPr>
          <w:p>
            <w:r>
              <w:rPr>
                <w:rFonts w:ascii="Calibri" w:hAnsi="Calibri"/>
                <w:sz w:val="22"/>
              </w:rPr>
              <w:t>Cross-Border Vol. Growth (ex-IE) — Q3 2026</w:t>
            </w:r>
          </w:p>
        </w:tc>
        <w:tc>
          <w:tcPr>
            <w:tcW w:type="dxa" w:w="1080"/>
          </w:tcPr>
          <w:p>
            <w:r>
              <w:rPr>
                <w:rFonts w:ascii="Calibri" w:hAnsi="Calibri"/>
                <w:sz w:val="22"/>
              </w:rPr>
              <w:t>~9.8% CC</w:t>
            </w:r>
          </w:p>
        </w:tc>
        <w:tc>
          <w:tcPr>
            <w:tcW w:type="dxa" w:w="1080"/>
          </w:tcPr>
          <w:p>
            <w:r>
              <w:rPr>
                <w:rFonts w:ascii="Calibri" w:hAnsi="Calibri"/>
                <w:sz w:val="22"/>
              </w:rPr>
              <w:t>~10.8% CC</w:t>
            </w:r>
          </w:p>
        </w:tc>
        <w:tc>
          <w:tcPr>
            <w:tcW w:type="dxa" w:w="1080"/>
          </w:tcPr>
          <w:p>
            <w:r>
              <w:rPr>
                <w:rFonts w:ascii="Calibri" w:hAnsi="Calibri"/>
                <w:sz w:val="22"/>
              </w:rPr>
              <w:t>+~1.0 pp</w:t>
            </w:r>
          </w:p>
        </w:tc>
        <w:tc>
          <w:tcPr>
            <w:tcW w:type="dxa" w:w="1080"/>
          </w:tcPr>
          <w:p>
            <w:r>
              <w:rPr>
                <w:rFonts w:ascii="Calibri" w:hAnsi="Calibri"/>
                <w:sz w:val="22"/>
              </w:rPr>
              <w:t>Resilient; FIFA tailwind; CEMEA headwind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Slightly above initial tone</w:t>
            </w:r>
          </w:p>
        </w:tc>
      </w:tr>
      <w:tr>
        <w:tc>
          <w:tcPr>
            <w:tcW w:type="dxa" w:w="1080"/>
          </w:tcPr>
          <w:p>
            <w:r>
              <w:rPr>
                <w:rFonts w:ascii="Calibri" w:hAnsi="Calibri"/>
                <w:sz w:val="22"/>
              </w:rPr>
              <w:t>Processed Transactions — Q3 2026</w:t>
            </w:r>
          </w:p>
        </w:tc>
        <w:tc>
          <w:tcPr>
            <w:tcW w:type="dxa" w:w="1080"/>
          </w:tcPr>
          <w:p>
            <w:r>
              <w:rPr>
                <w:rFonts w:ascii="Calibri" w:hAnsi="Calibri"/>
                <w:sz w:val="22"/>
              </w:rPr>
              <w:t>71,162M</w:t>
            </w:r>
          </w:p>
        </w:tc>
        <w:tc>
          <w:tcPr>
            <w:tcW w:type="dxa" w:w="1080"/>
          </w:tcPr>
          <w:p>
            <w:r>
              <w:rPr>
                <w:rFonts w:ascii="Calibri" w:hAnsi="Calibri"/>
                <w:sz w:val="22"/>
              </w:rPr>
              <w:t>71,119M</w:t>
            </w:r>
          </w:p>
        </w:tc>
        <w:tc>
          <w:tcPr>
            <w:tcW w:type="dxa" w:w="1080"/>
          </w:tcPr>
          <w:p>
            <w:r>
              <w:rPr>
                <w:rFonts w:ascii="Calibri" w:hAnsi="Calibri"/>
                <w:sz w:val="22"/>
              </w:rPr>
              <w:t>-0.1%</w:t>
            </w:r>
          </w:p>
        </w:tc>
        <w:tc>
          <w:tcPr>
            <w:tcW w:type="dxa" w:w="1080"/>
          </w:tcPr>
          <w:p>
            <w:r>
              <w:rPr>
                <w:rFonts w:ascii="Calibri" w:hAnsi="Calibri"/>
                <w:sz w:val="22"/>
              </w:rPr>
              <w:t>Resilient and strong</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Net Revenue — FY26</w:t>
            </w:r>
          </w:p>
        </w:tc>
        <w:tc>
          <w:tcPr>
            <w:tcW w:type="dxa" w:w="1080"/>
          </w:tcPr>
          <w:p>
            <w:r>
              <w:rPr>
                <w:rFonts w:ascii="Calibri" w:hAnsi="Calibri"/>
                <w:sz w:val="22"/>
              </w:rPr>
              <w:t>$45.55B</w:t>
            </w:r>
          </w:p>
        </w:tc>
        <w:tc>
          <w:tcPr>
            <w:tcW w:type="dxa" w:w="1080"/>
          </w:tcPr>
          <w:p>
            <w:r>
              <w:rPr>
                <w:rFonts w:ascii="Calibri" w:hAnsi="Calibri"/>
                <w:sz w:val="22"/>
              </w:rPr>
              <w:t>$45.58B</w:t>
            </w:r>
          </w:p>
        </w:tc>
        <w:tc>
          <w:tcPr>
            <w:tcW w:type="dxa" w:w="1080"/>
          </w:tcPr>
          <w:p>
            <w:r>
              <w:rPr>
                <w:rFonts w:ascii="Calibri" w:hAnsi="Calibri"/>
                <w:sz w:val="22"/>
              </w:rPr>
              <w:t>+0.1%</w:t>
            </w:r>
          </w:p>
        </w:tc>
        <w:tc>
          <w:tcPr>
            <w:tcW w:type="dxa" w:w="1080"/>
          </w:tcPr>
          <w:p>
            <w:r>
              <w:rPr>
                <w:rFonts w:ascii="Calibri" w:hAnsi="Calibri"/>
                <w:sz w:val="22"/>
              </w:rPr>
              <w:t>Low double-digit to low teens growth</w:t>
            </w:r>
          </w:p>
        </w:tc>
        <w:tc>
          <w:tcPr>
            <w:tcW w:type="dxa" w:w="1080"/>
          </w:tcPr>
          <w:p>
            <w:r>
              <w:rPr>
                <w:rFonts w:ascii="Calibri" w:hAnsi="Calibri"/>
                <w:sz w:val="22"/>
              </w:rPr>
              <w:t>Unchanged (raised at Q2 print)</w:t>
            </w:r>
          </w:p>
        </w:tc>
        <w:tc>
          <w:tcPr>
            <w:tcW w:type="dxa" w:w="1080"/>
          </w:tcPr>
          <w:p>
            <w:r>
              <w:rPr>
                <w:rFonts w:ascii="Calibri" w:hAnsi="Calibri"/>
                <w:sz w:val="22"/>
              </w:rPr>
              <w:t>—</w:t>
            </w:r>
          </w:p>
        </w:tc>
        <w:tc>
          <w:tcPr>
            <w:tcW w:type="dxa" w:w="1080"/>
          </w:tcPr>
          <w:p>
            <w:r>
              <w:rPr>
                <w:rFonts w:ascii="Calibri" w:hAnsi="Calibri"/>
                <w:sz w:val="22"/>
              </w:rPr>
              <w:t>In-line with midpoint</w:t>
            </w:r>
          </w:p>
        </w:tc>
      </w:tr>
      <w:tr>
        <w:tc>
          <w:tcPr>
            <w:tcW w:type="dxa" w:w="1080"/>
          </w:tcPr>
          <w:p>
            <w:r>
              <w:rPr>
                <w:rFonts w:ascii="Calibri" w:hAnsi="Calibri"/>
                <w:sz w:val="22"/>
              </w:rPr>
              <w:t>Adj. EPS — FY26</w:t>
            </w:r>
          </w:p>
        </w:tc>
        <w:tc>
          <w:tcPr>
            <w:tcW w:type="dxa" w:w="1080"/>
          </w:tcPr>
          <w:p>
            <w:r>
              <w:rPr>
                <w:rFonts w:ascii="Calibri" w:hAnsi="Calibri"/>
                <w:sz w:val="22"/>
              </w:rPr>
              <w:t>$13.14</w:t>
            </w:r>
          </w:p>
        </w:tc>
        <w:tc>
          <w:tcPr>
            <w:tcW w:type="dxa" w:w="1080"/>
          </w:tcPr>
          <w:p>
            <w:r>
              <w:rPr>
                <w:rFonts w:ascii="Calibri" w:hAnsi="Calibri"/>
                <w:sz w:val="22"/>
              </w:rPr>
              <w:t>$13.15</w:t>
            </w:r>
          </w:p>
        </w:tc>
        <w:tc>
          <w:tcPr>
            <w:tcW w:type="dxa" w:w="1080"/>
          </w:tcPr>
          <w:p>
            <w:r>
              <w:rPr>
                <w:rFonts w:ascii="Calibri" w:hAnsi="Calibri"/>
                <w:sz w:val="22"/>
              </w:rPr>
              <w:t>+0.1%</w:t>
            </w:r>
          </w:p>
        </w:tc>
        <w:tc>
          <w:tcPr>
            <w:tcW w:type="dxa" w:w="1080"/>
          </w:tcPr>
          <w:p>
            <w:r>
              <w:rPr>
                <w:rFonts w:ascii="Calibri" w:hAnsi="Calibri"/>
                <w:sz w:val="22"/>
              </w:rPr>
              <w:t>Low teens growth (raised at Q2 print)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Adj. EPS — FY27</w:t>
            </w:r>
          </w:p>
        </w:tc>
        <w:tc>
          <w:tcPr>
            <w:tcW w:type="dxa" w:w="1080"/>
          </w:tcPr>
          <w:p>
            <w:r>
              <w:rPr>
                <w:rFonts w:ascii="Calibri" w:hAnsi="Calibri"/>
                <w:sz w:val="22"/>
              </w:rPr>
              <w:t>$14.86</w:t>
            </w:r>
          </w:p>
        </w:tc>
        <w:tc>
          <w:tcPr>
            <w:tcW w:type="dxa" w:w="1080"/>
          </w:tcPr>
          <w:p>
            <w:r>
              <w:rPr>
                <w:rFonts w:ascii="Calibri" w:hAnsi="Calibri"/>
                <w:sz w:val="22"/>
              </w:rPr>
              <w:t>$14.88</w:t>
            </w:r>
          </w:p>
        </w:tc>
        <w:tc>
          <w:tcPr>
            <w:tcW w:type="dxa" w:w="1080"/>
          </w:tcPr>
          <w:p>
            <w:r>
              <w:rPr>
                <w:rFonts w:ascii="Calibri" w:hAnsi="Calibri"/>
                <w:sz w:val="22"/>
              </w:rPr>
              <w:t>+0.1%</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V has outperformed both the IAI ETF and the S&amp;P 500 since the Q2 earnings date, with the majority of the 3-month gain driven by multiple expansion rather than estimate revisions — suggesting the stock has partially priced in continued execution, leaving less room for a sentiment re-rating on the Q3 print.</w:t>
      </w:r>
    </w:p>
    <w:p>
      <w:r>
        <w:rPr>
          <w:rFonts w:ascii="Calibri" w:hAnsi="Calibri"/>
          <w:b/>
          <w:color w:val="525866"/>
          <w:sz w:val="22"/>
        </w:rPr>
        <w:t xml:space="preserve">Benchmark note: </w:t>
      </w:r>
      <w:r>
        <w:rPr>
          <w:rFonts w:ascii="Calibri" w:hAnsi="Calibri"/>
          <w:color w:val="525866"/>
          <w:sz w:val="22"/>
        </w:rPr>
        <w:t>IAI (iShares U.S. Broker-Dealers &amp; Securities Exchanges ETF) is used as the sector proxy. IAI tracks U.S. broker-dealers, investment banks, and securities exchanges — the closest available ETF to Visa's financial infrastructure and payments network peer group, capturing the broader financial technology and transaction-processing ecosystem. SPY (SPDR S&amp;P 500 ETF) is used as the broad market benchmark.</w:t>
      </w:r>
    </w:p>
    <w:p>
      <w:pPr>
        <w:pStyle w:val="Heading3"/>
      </w:pPr>
      <w:r>
        <w:rPr>
          <w:rFonts w:ascii="Calibri" w:hAnsi="Calibri"/>
          <w:b/>
          <w:color w:val="3B4259"/>
          <w:sz w:val="24"/>
        </w:rPr>
        <w:t>Indexed Price Performance: V vs. IAI vs. SPY (Base = 100 at April 28, 2026 Close)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V (Indexed)</w:t>
            </w:r>
          </w:p>
        </w:tc>
        <w:tc>
          <w:tcPr>
            <w:tcW w:type="dxa" w:w="2160"/>
            <w:shd w:val="clear" w:color="auto" w:fill="3B4259"/>
          </w:tcPr>
          <w:p>
            <w:r>
              <w:rPr>
                <w:rFonts w:ascii="Calibri" w:hAnsi="Calibri"/>
                <w:b/>
                <w:color w:val="FFFFFF"/>
                <w:sz w:val="22"/>
              </w:rPr>
              <w:t>IAI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28,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29, 2026 (Day +1 post-earnings)</w:t>
            </w:r>
          </w:p>
        </w:tc>
        <w:tc>
          <w:tcPr>
            <w:tcW w:type="dxa" w:w="2160"/>
          </w:tcPr>
          <w:p>
            <w:r>
              <w:rPr>
                <w:rFonts w:ascii="Calibri" w:hAnsi="Calibri"/>
                <w:sz w:val="22"/>
              </w:rPr>
              <w:t>108.3</w:t>
            </w:r>
          </w:p>
        </w:tc>
        <w:tc>
          <w:tcPr>
            <w:tcW w:type="dxa" w:w="2160"/>
          </w:tcPr>
          <w:p>
            <w:r>
              <w:rPr>
                <w:rFonts w:ascii="Calibri" w:hAnsi="Calibri"/>
                <w:sz w:val="22"/>
              </w:rPr>
              <w:t>98.5</w:t>
            </w:r>
          </w:p>
        </w:tc>
        <w:tc>
          <w:tcPr>
            <w:tcW w:type="dxa" w:w="2160"/>
          </w:tcPr>
          <w:p>
            <w:r>
              <w:rPr>
                <w:rFonts w:ascii="Calibri" w:hAnsi="Calibri"/>
                <w:sz w:val="22"/>
              </w:rPr>
              <w:t>100.0</w:t>
            </w:r>
          </w:p>
        </w:tc>
      </w:tr>
      <w:tr>
        <w:tc>
          <w:tcPr>
            <w:tcW w:type="dxa" w:w="2160"/>
          </w:tcPr>
          <w:p>
            <w:r>
              <w:rPr>
                <w:rFonts w:ascii="Calibri" w:hAnsi="Calibri"/>
                <w:sz w:val="22"/>
              </w:rPr>
              <w:t>May 14, 2026 (CFO intra-qtr update)</w:t>
            </w:r>
          </w:p>
        </w:tc>
        <w:tc>
          <w:tcPr>
            <w:tcW w:type="dxa" w:w="2160"/>
          </w:tcPr>
          <w:p>
            <w:r>
              <w:rPr>
                <w:rFonts w:ascii="Calibri" w:hAnsi="Calibri"/>
                <w:sz w:val="22"/>
              </w:rPr>
              <w:t>104.3</w:t>
            </w:r>
          </w:p>
        </w:tc>
        <w:tc>
          <w:tcPr>
            <w:tcW w:type="dxa" w:w="2160"/>
          </w:tcPr>
          <w:p>
            <w:r>
              <w:rPr>
                <w:rFonts w:ascii="Calibri" w:hAnsi="Calibri"/>
                <w:sz w:val="22"/>
              </w:rPr>
              <w:t>101.4</w:t>
            </w:r>
          </w:p>
        </w:tc>
        <w:tc>
          <w:tcPr>
            <w:tcW w:type="dxa" w:w="2160"/>
          </w:tcPr>
          <w:p>
            <w:r>
              <w:rPr>
                <w:rFonts w:ascii="Calibri" w:hAnsi="Calibri"/>
                <w:sz w:val="22"/>
              </w:rPr>
              <w:t>105.1</w:t>
            </w:r>
          </w:p>
        </w:tc>
      </w:tr>
      <w:tr>
        <w:tc>
          <w:tcPr>
            <w:tcW w:type="dxa" w:w="2160"/>
          </w:tcPr>
          <w:p>
            <w:r>
              <w:rPr>
                <w:rFonts w:ascii="Calibri" w:hAnsi="Calibri"/>
                <w:sz w:val="22"/>
              </w:rPr>
              <w:t>May 19, 2026 (JP Morgan Conference)</w:t>
            </w:r>
          </w:p>
        </w:tc>
        <w:tc>
          <w:tcPr>
            <w:tcW w:type="dxa" w:w="2160"/>
          </w:tcPr>
          <w:p>
            <w:r>
              <w:rPr>
                <w:rFonts w:ascii="Calibri" w:hAnsi="Calibri"/>
                <w:sz w:val="22"/>
              </w:rPr>
              <w:t>106.7</w:t>
            </w:r>
          </w:p>
        </w:tc>
        <w:tc>
          <w:tcPr>
            <w:tcW w:type="dxa" w:w="2160"/>
          </w:tcPr>
          <w:p>
            <w:r>
              <w:rPr>
                <w:rFonts w:ascii="Calibri" w:hAnsi="Calibri"/>
                <w:sz w:val="22"/>
              </w:rPr>
              <w:t>99.4</w:t>
            </w:r>
          </w:p>
        </w:tc>
        <w:tc>
          <w:tcPr>
            <w:tcW w:type="dxa" w:w="2160"/>
          </w:tcPr>
          <w:p>
            <w:r>
              <w:rPr>
                <w:rFonts w:ascii="Calibri" w:hAnsi="Calibri"/>
                <w:sz w:val="22"/>
              </w:rPr>
              <w:t>103.1</w:t>
            </w:r>
          </w:p>
        </w:tc>
      </w:tr>
      <w:tr>
        <w:tc>
          <w:tcPr>
            <w:tcW w:type="dxa" w:w="2160"/>
          </w:tcPr>
          <w:p>
            <w:r>
              <w:rPr>
                <w:rFonts w:ascii="Calibri" w:hAnsi="Calibri"/>
                <w:sz w:val="22"/>
              </w:rPr>
              <w:t>May 28, 2026 (Bernstein Conference)</w:t>
            </w:r>
          </w:p>
        </w:tc>
        <w:tc>
          <w:tcPr>
            <w:tcW w:type="dxa" w:w="2160"/>
          </w:tcPr>
          <w:p>
            <w:r>
              <w:rPr>
                <w:rFonts w:ascii="Calibri" w:hAnsi="Calibri"/>
                <w:sz w:val="22"/>
              </w:rPr>
              <w:t>105.1</w:t>
            </w:r>
          </w:p>
        </w:tc>
        <w:tc>
          <w:tcPr>
            <w:tcW w:type="dxa" w:w="2160"/>
          </w:tcPr>
          <w:p>
            <w:r>
              <w:rPr>
                <w:rFonts w:ascii="Calibri" w:hAnsi="Calibri"/>
                <w:sz w:val="22"/>
              </w:rPr>
              <w:t>101.3</w:t>
            </w:r>
          </w:p>
        </w:tc>
        <w:tc>
          <w:tcPr>
            <w:tcW w:type="dxa" w:w="2160"/>
          </w:tcPr>
          <w:p>
            <w:r>
              <w:rPr>
                <w:rFonts w:ascii="Calibri" w:hAnsi="Calibri"/>
                <w:sz w:val="22"/>
              </w:rPr>
              <w:t>106.0</w:t>
            </w:r>
          </w:p>
        </w:tc>
      </w:tr>
      <w:tr>
        <w:tc>
          <w:tcPr>
            <w:tcW w:type="dxa" w:w="2160"/>
          </w:tcPr>
          <w:p>
            <w:r>
              <w:rPr>
                <w:rFonts w:ascii="Calibri" w:hAnsi="Calibri"/>
                <w:sz w:val="22"/>
              </w:rPr>
              <w:t>Jun 3, 2026 (Baird Conference)</w:t>
            </w:r>
          </w:p>
        </w:tc>
        <w:tc>
          <w:tcPr>
            <w:tcW w:type="dxa" w:w="2160"/>
          </w:tcPr>
          <w:p>
            <w:r>
              <w:rPr>
                <w:rFonts w:ascii="Calibri" w:hAnsi="Calibri"/>
                <w:sz w:val="22"/>
              </w:rPr>
              <w:t>101.0</w:t>
            </w:r>
          </w:p>
        </w:tc>
        <w:tc>
          <w:tcPr>
            <w:tcW w:type="dxa" w:w="2160"/>
          </w:tcPr>
          <w:p>
            <w:r>
              <w:rPr>
                <w:rFonts w:ascii="Calibri" w:hAnsi="Calibri"/>
                <w:sz w:val="22"/>
              </w:rPr>
              <w:t>101.0</w:t>
            </w:r>
          </w:p>
        </w:tc>
        <w:tc>
          <w:tcPr>
            <w:tcW w:type="dxa" w:w="2160"/>
          </w:tcPr>
          <w:p>
            <w:r>
              <w:rPr>
                <w:rFonts w:ascii="Calibri" w:hAnsi="Calibri"/>
                <w:sz w:val="22"/>
              </w:rPr>
              <w:t>106.0</w:t>
            </w:r>
          </w:p>
        </w:tc>
      </w:tr>
      <w:tr>
        <w:tc>
          <w:tcPr>
            <w:tcW w:type="dxa" w:w="2160"/>
          </w:tcPr>
          <w:p>
            <w:r>
              <w:rPr>
                <w:rFonts w:ascii="Calibri" w:hAnsi="Calibri"/>
                <w:sz w:val="22"/>
              </w:rPr>
              <w:t>Jun 24–25, 2026 (Litigation escrow $250M deposit / 8-K)</w:t>
            </w:r>
          </w:p>
        </w:tc>
        <w:tc>
          <w:tcPr>
            <w:tcW w:type="dxa" w:w="2160"/>
          </w:tcPr>
          <w:p>
            <w:r>
              <w:rPr>
                <w:rFonts w:ascii="Calibri" w:hAnsi="Calibri"/>
                <w:sz w:val="22"/>
              </w:rPr>
              <w:t>107.4</w:t>
            </w:r>
          </w:p>
        </w:tc>
        <w:tc>
          <w:tcPr>
            <w:tcW w:type="dxa" w:w="2160"/>
          </w:tcPr>
          <w:p>
            <w:r>
              <w:rPr>
                <w:rFonts w:ascii="Calibri" w:hAnsi="Calibri"/>
                <w:sz w:val="22"/>
              </w:rPr>
              <w:t>102.3</w:t>
            </w:r>
          </w:p>
        </w:tc>
        <w:tc>
          <w:tcPr>
            <w:tcW w:type="dxa" w:w="2160"/>
          </w:tcPr>
          <w:p>
            <w:r>
              <w:rPr>
                <w:rFonts w:ascii="Calibri" w:hAnsi="Calibri"/>
                <w:sz w:val="22"/>
              </w:rPr>
              <w:t>103.0</w:t>
            </w:r>
          </w:p>
        </w:tc>
      </w:tr>
      <w:tr>
        <w:tc>
          <w:tcPr>
            <w:tcW w:type="dxa" w:w="2160"/>
          </w:tcPr>
          <w:p>
            <w:r>
              <w:rPr>
                <w:rFonts w:ascii="Calibri" w:hAnsi="Calibri"/>
                <w:sz w:val="22"/>
              </w:rPr>
              <w:t>Jun 30, 2026 (Quarter-end)</w:t>
            </w:r>
          </w:p>
        </w:tc>
        <w:tc>
          <w:tcPr>
            <w:tcW w:type="dxa" w:w="2160"/>
          </w:tcPr>
          <w:p>
            <w:r>
              <w:rPr>
                <w:rFonts w:ascii="Calibri" w:hAnsi="Calibri"/>
                <w:sz w:val="22"/>
              </w:rPr>
              <w:t>110.9</w:t>
            </w:r>
          </w:p>
        </w:tc>
        <w:tc>
          <w:tcPr>
            <w:tcW w:type="dxa" w:w="2160"/>
          </w:tcPr>
          <w:p>
            <w:r>
              <w:rPr>
                <w:rFonts w:ascii="Calibri" w:hAnsi="Calibri"/>
                <w:sz w:val="22"/>
              </w:rPr>
              <w:t>99.0</w:t>
            </w:r>
          </w:p>
        </w:tc>
        <w:tc>
          <w:tcPr>
            <w:tcW w:type="dxa" w:w="2160"/>
          </w:tcPr>
          <w:p>
            <w:r>
              <w:rPr>
                <w:rFonts w:ascii="Calibri" w:hAnsi="Calibri"/>
                <w:sz w:val="22"/>
              </w:rPr>
              <w:t>104.9</w:t>
            </w:r>
          </w:p>
        </w:tc>
      </w:tr>
      <w:tr>
        <w:tc>
          <w:tcPr>
            <w:tcW w:type="dxa" w:w="2160"/>
          </w:tcPr>
          <w:p>
            <w:r>
              <w:rPr>
                <w:rFonts w:ascii="Calibri" w:hAnsi="Calibri"/>
                <w:sz w:val="22"/>
              </w:rPr>
              <w:t>Jul 2, 2026 (V rallies to ~$362)</w:t>
            </w:r>
          </w:p>
        </w:tc>
        <w:tc>
          <w:tcPr>
            <w:tcW w:type="dxa" w:w="2160"/>
          </w:tcPr>
          <w:p>
            <w:r>
              <w:rPr>
                <w:rFonts w:ascii="Calibri" w:hAnsi="Calibri"/>
                <w:sz w:val="22"/>
              </w:rPr>
              <w:t>117.1</w:t>
            </w:r>
          </w:p>
        </w:tc>
        <w:tc>
          <w:tcPr>
            <w:tcW w:type="dxa" w:w="2160"/>
          </w:tcPr>
          <w:p>
            <w:r>
              <w:rPr>
                <w:rFonts w:ascii="Calibri" w:hAnsi="Calibri"/>
                <w:sz w:val="22"/>
              </w:rPr>
              <w:t>104.0</w:t>
            </w:r>
          </w:p>
        </w:tc>
        <w:tc>
          <w:tcPr>
            <w:tcW w:type="dxa" w:w="2160"/>
          </w:tcPr>
          <w:p>
            <w:r>
              <w:rPr>
                <w:rFonts w:ascii="Calibri" w:hAnsi="Calibri"/>
                <w:sz w:val="22"/>
              </w:rPr>
              <w:t>104.6</w:t>
            </w:r>
          </w:p>
        </w:tc>
      </w:tr>
      <w:tr>
        <w:tc>
          <w:tcPr>
            <w:tcW w:type="dxa" w:w="2160"/>
          </w:tcPr>
          <w:p>
            <w:r>
              <w:rPr>
                <w:rFonts w:ascii="Calibri" w:hAnsi="Calibri"/>
                <w:sz w:val="22"/>
              </w:rPr>
              <w:t>Jul 28, 2026 (Today / Pre-print)</w:t>
            </w:r>
          </w:p>
        </w:tc>
        <w:tc>
          <w:tcPr>
            <w:tcW w:type="dxa" w:w="2160"/>
          </w:tcPr>
          <w:p>
            <w:r>
              <w:rPr>
                <w:rFonts w:ascii="Calibri" w:hAnsi="Calibri"/>
                <w:sz w:val="22"/>
              </w:rPr>
              <w:t>117.2</w:t>
            </w:r>
          </w:p>
        </w:tc>
        <w:tc>
          <w:tcPr>
            <w:tcW w:type="dxa" w:w="2160"/>
          </w:tcPr>
          <w:p>
            <w:r>
              <w:rPr>
                <w:rFonts w:ascii="Calibri" w:hAnsi="Calibri"/>
                <w:sz w:val="22"/>
              </w:rPr>
              <w:t>106.4</w:t>
            </w:r>
          </w:p>
        </w:tc>
        <w:tc>
          <w:tcPr>
            <w:tcW w:type="dxa" w:w="2160"/>
          </w:tcPr>
          <w:p>
            <w:r>
              <w:rPr>
                <w:rFonts w:ascii="Calibri" w:hAnsi="Calibri"/>
                <w:sz w:val="22"/>
              </w:rPr>
              <w:t>103.9</w:t>
            </w:r>
          </w:p>
        </w:tc>
      </w:tr>
    </w:tbl>
    <w:p>
      <w:r>
        <w:rPr>
          <w:rFonts w:ascii="Calibri" w:hAnsi="Calibri"/>
          <w:b/>
          <w:color w:val="525866"/>
          <w:sz w:val="22"/>
        </w:rPr>
        <w:t xml:space="preserve">Performance Summary (Apr 28 → Jul 28, 2026): </w:t>
      </w:r>
      <w:r>
        <w:rPr>
          <w:rFonts w:ascii="Calibri" w:hAnsi="Calibri"/>
          <w:color w:val="525866"/>
          <w:sz w:val="22"/>
        </w:rPr>
        <w:t>V +17.2% | IAI +6.4% | SPY +3.9%. Visa has outperformed the sector ETF by ~10.8 pp and the S&amp;P 500 by ~13.3 pp since the Q2 earnings date. The stock surged ~8.3% on the day after Q2 earnings (Apr 29), then traded in a range of $312–$332 through early June before re-accelerating in late June and early July. The 3-month stock performance decomposition shows that multiple expansion (EV/EBITDA expanded from ~17.9x to ~18.5x over 3 months) accounted for the majority of the move, with estimate revisions contributing only modestly — a pattern that leaves the stock more vulnerable to a miss than a typical setup where earnings revisions are the primary driver.</w:t>
      </w:r>
    </w:p>
    <w:p>
      <w:r>
        <w:rPr>
          <w:rFonts w:ascii="Calibri" w:hAnsi="Calibri"/>
          <w:b/>
          <w:color w:val="525866"/>
          <w:sz w:val="22"/>
        </w:rPr>
        <w:t xml:space="preserve">Key Events Marked: </w:t>
      </w:r>
      <w:r>
        <w:rPr>
          <w:rFonts w:ascii="Calibri" w:hAnsi="Calibri"/>
          <w:color w:val="525866"/>
          <w:sz w:val="22"/>
        </w:rPr>
        <w:t>(1) Apr 29: Q2 earnings reaction (+8.3%); (2) May 19: JP Morgan Conference — CFO provided intra-quarter update through May 14 showing improvement across all volume metrics; (3) May 28: Bernstein Conference — CEO confirmed continued improvement through conference date; (4) Jun 3: Baird Conference — CMS President discussed B2B and Visa Direct strategy; (5) Jun 24–25: 8-K filing — $250M litigation escrow deposit, Class B conversion rate adjustments (effective Jun 25); (6) Jul 15: Bylaw amendment 8-K (exclusive legal forum designation).</w:t>
      </w:r>
    </w:p>
    <w:p>
      <w:r>
        <w:rPr>
          <w:rFonts w:ascii="Calibri" w:hAnsi="Calibri"/>
          <w:b/>
          <w:color w:val="525866"/>
          <w:sz w:val="22"/>
        </w:rPr>
        <w:t xml:space="preserve">Source: </w:t>
      </w:r>
      <w:r>
        <w:rPr>
          <w:rFonts w:ascii="Calibri" w:hAnsi="Calibri"/>
          <w:color w:val="525866"/>
          <w:sz w:val="22"/>
        </w:rPr>
        <w:t>Stock Price Data (Yahoo Finance). Indexed values computed from closing prices with base = 100 at April 28, 2026 close ($309.30 for V, $177.23 for IAI, $711.69 for SPY). Stock performance decomposition data from Implied platform.</w:t>
      </w:r>
    </w:p>
    <w:p>
      <w:r>
        <w:br w:type="page"/>
      </w:r>
    </w:p>
    <w:p>
      <w:pPr>
        <w:pStyle w:val="Heading2"/>
      </w:pPr>
      <w:r>
        <w:rPr>
          <w:rFonts w:ascii="Calibri" w:hAnsi="Calibri"/>
          <w:b/>
          <w:color w:val="3B4259"/>
          <w:sz w:val="28"/>
        </w:rPr>
        <w:t>6. Peer Commentary &amp; Read-Throughs (Last 60 Days — Current Quarter Focus Only)</w:t>
      </w:r>
    </w:p>
    <w:p>
      <w:r>
        <w:rPr>
          <w:rFonts w:ascii="Calibri" w:hAnsi="Calibri"/>
          <w:b/>
          <w:color w:val="525866"/>
          <w:sz w:val="22"/>
        </w:rPr>
        <w:t xml:space="preserve">Key Takeaway: </w:t>
      </w:r>
      <w:r>
        <w:rPr>
          <w:rFonts w:ascii="Calibri" w:hAnsi="Calibri"/>
          <w:color w:val="525866"/>
          <w:sz w:val="22"/>
        </w:rPr>
        <w:t>Peer commentary from the last 60 days is broadly constructive for Visa's Q3 2026 print: consumer spending remains resilient across issuers, cross-border travel is recovering (with one notable Middle East headwind), and commercial volumes are accelerating. The one material negative read-through is Capital One's completed migration of its debit portfolio to the Discover network.</w:t>
      </w:r>
    </w:p>
    <w:p>
      <w:r>
        <w:rPr>
          <w:rFonts w:ascii="Calibri" w:hAnsi="Calibri"/>
          <w:b/>
          <w:color w:val="525866"/>
          <w:sz w:val="22"/>
        </w:rPr>
        <w:t xml:space="preserve">Methodology note: </w:t>
      </w:r>
      <w:r>
        <w:rPr>
          <w:rFonts w:ascii="Calibri" w:hAnsi="Calibri"/>
          <w:color w:val="525866"/>
          <w:sz w:val="22"/>
        </w:rPr>
        <w:t>Only commentary explicitly describing conditions in or outlook for the June 2026 quarter (Visa's fiscal Q3 2026) is included below. Prior-quarter results commentary (e.g., a peer discussing its own Q1 2026 results without forward-looking color) has been excluded. Sources include conference transcripts and Q2 2026 earnings calls from peers that reported before Visa.</w:t>
      </w:r>
    </w:p>
    <w:p>
      <w:pPr>
        <w:pStyle w:val="Heading3"/>
      </w:pPr>
      <w:r>
        <w:rPr>
          <w:rFonts w:ascii="Calibri" w:hAnsi="Calibri"/>
          <w:b/>
          <w:color w:val="3B4259"/>
          <w:sz w:val="24"/>
        </w:rPr>
        <w:t>A. Consumer Spending &amp; Volume Trends</w:t>
      </w:r>
    </w:p>
    <w:p>
      <w:pPr>
        <w:pStyle w:val="ListBullet"/>
        <w:ind w:left="360" w:hanging="360"/>
      </w:pPr>
      <w:r>
        <w:rPr>
          <w:rFonts w:ascii="Calibri" w:hAnsi="Calibri"/>
          <w:b/>
          <w:color w:val="525866"/>
          <w:sz w:val="22"/>
        </w:rPr>
        <w:t xml:space="preserve">American Express (AXP) — Q2 2026 Earnings Call (July 24, 2026): </w:t>
      </w:r>
      <w:r>
        <w:rPr>
          <w:rFonts w:ascii="Calibri" w:hAnsi="Calibri"/>
          <w:color w:val="525866"/>
          <w:sz w:val="22"/>
        </w:rPr>
        <w:t xml:space="preserve">AXP reported spend growth of +9% FX-adjusted in Q2 2026 (quarter ended June 30), the highest level in three years, with U.S. consumer spending up 11% — the strongest since Q1 2018 (ex-pandemic). Broad-based growth across retail (+13%), restaurants (+10%), and online (+10%). Management raised full-year revenue growth guidance to 10% and sees "good momentum" continuing. Credit performance is "better than expected" with delinquency and write-off rates below 2019 levels. </w:t>
      </w:r>
    </w:p>
    <w:p>
      <w:pPr>
        <w:pStyle w:val="ListBullet"/>
        <w:ind w:left="360" w:hanging="360"/>
      </w:pPr>
      <w:r>
        <w:rPr>
          <w:rFonts w:ascii="Calibri" w:hAnsi="Calibri"/>
          <w:b/>
          <w:color w:val="30A46C"/>
          <w:sz w:val="22"/>
        </w:rPr>
        <w:t xml:space="preserve">Read-through for V: </w:t>
      </w:r>
      <w:r>
        <w:rPr>
          <w:rFonts w:ascii="Calibri" w:hAnsi="Calibri"/>
          <w:color w:val="525866"/>
          <w:sz w:val="22"/>
        </w:rPr>
        <w:t xml:space="preserve"> Strongly positive. AXP's June-quarter spend data is a direct read-through for Visa's payments volume and processed transaction growth. The acceleration in U.S. consumer spending and broad-based category strength is consistent with Visa's own mid-May intra-quarter update showing improvement across all metrics.</w:t>
      </w:r>
    </w:p>
    <w:p>
      <w:pPr>
        <w:pStyle w:val="ListBullet"/>
        <w:ind w:left="360" w:hanging="360"/>
      </w:pPr>
      <w:r>
        <w:rPr>
          <w:rFonts w:ascii="Calibri" w:hAnsi="Calibri"/>
          <w:b/>
          <w:color w:val="525866"/>
          <w:sz w:val="22"/>
        </w:rPr>
        <w:t xml:space="preserve">Capital One (COF) — Q2 2026 Earnings Call (July 21, 2026): </w:t>
      </w:r>
      <w:r>
        <w:rPr>
          <w:rFonts w:ascii="Calibri" w:hAnsi="Calibri"/>
          <w:color w:val="525866"/>
          <w:sz w:val="22"/>
        </w:rPr>
        <w:t>COF reported that the "U.S. consumer and the overall economy remained resilient" through the June quarter, with strong labor market indicators (unemployment lower in June than in February, jobless claims low, job creation rebounding). Purchase volume for legacy COF businesses grew ~14% YoY. Real wage growth returned to positive territory in June after turning negative in April–May due to inflation. Credit performance is "very strong" with domestic card charge-off rate of 4.71% (down 39 bps QoQ, down 54 bps YoY) and delinquency rate of 3.39% (down 31 bps QoQ). COF does not see a "k-shaped economy" — credit performance is consistent across the credit spectrum.</w:t>
      </w:r>
    </w:p>
    <w:p>
      <w:pPr>
        <w:pStyle w:val="ListBullet"/>
        <w:ind w:left="360" w:hanging="360"/>
      </w:pPr>
      <w:r>
        <w:rPr>
          <w:rFonts w:ascii="Calibri" w:hAnsi="Calibri"/>
          <w:b/>
          <w:color w:val="30A46C"/>
          <w:sz w:val="22"/>
        </w:rPr>
        <w:t xml:space="preserve">Read-through for V: </w:t>
      </w:r>
      <w:r>
        <w:rPr>
          <w:rFonts w:ascii="Calibri" w:hAnsi="Calibri"/>
          <w:color w:val="525866"/>
          <w:sz w:val="22"/>
        </w:rPr>
        <w:t xml:space="preserve"> Positive for volume. Broad-based consumer health and accelerating purchase volumes are constructive for Visa's payments volume growth. However, COF also disclosed it has completed the 100% conversion of its debit portfolio to the Discover network (see Section C below for the negative read-through).</w:t>
      </w:r>
    </w:p>
    <w:p>
      <w:pPr>
        <w:pStyle w:val="ListBullet"/>
        <w:ind w:left="360" w:hanging="360"/>
      </w:pPr>
      <w:r>
        <w:rPr>
          <w:rFonts w:ascii="Calibri" w:hAnsi="Calibri"/>
          <w:b/>
          <w:color w:val="525866"/>
          <w:sz w:val="22"/>
        </w:rPr>
        <w:t xml:space="preserve">Fiserv (FI) — Baird Global Consumer Conference (June 2, 2026): </w:t>
      </w:r>
      <w:r>
        <w:rPr>
          <w:rFonts w:ascii="Calibri" w:hAnsi="Calibri"/>
          <w:color w:val="525866"/>
          <w:sz w:val="22"/>
        </w:rPr>
        <w:t>FI noted that "underlying volumes across the business have been very stable" across issuing, debit, and merchant GPV, and expects that stability to continue "assuming a stable macro." Expects 6%–8% growth in merchant solutions and 10%–15% volume growth in Clover (SMB POS platform). Anticipates acceleration in the back half of 2026.</w:t>
      </w:r>
    </w:p>
    <w:p>
      <w:pPr>
        <w:pStyle w:val="ListBullet"/>
        <w:ind w:left="360" w:hanging="360"/>
      </w:pPr>
      <w:r>
        <w:rPr>
          <w:rFonts w:ascii="Calibri" w:hAnsi="Calibri"/>
          <w:b/>
          <w:color w:val="30A46C"/>
          <w:sz w:val="22"/>
        </w:rPr>
        <w:t xml:space="preserve">Read-through for V: </w:t>
      </w:r>
      <w:r>
        <w:rPr>
          <w:rFonts w:ascii="Calibri" w:hAnsi="Calibri"/>
          <w:color w:val="525866"/>
          <w:sz w:val="22"/>
        </w:rPr>
        <w:t xml:space="preserve"> Positive. Stable and growing merchant volumes at the point of sale are a direct positive for Visa's processed transaction count.</w:t>
      </w:r>
    </w:p>
    <w:p>
      <w:pPr>
        <w:pStyle w:val="Heading3"/>
      </w:pPr>
      <w:r>
        <w:rPr>
          <w:rFonts w:ascii="Calibri" w:hAnsi="Calibri"/>
          <w:b/>
          <w:color w:val="3B4259"/>
          <w:sz w:val="24"/>
        </w:rPr>
        <w:t>B. Cross-Border &amp; Travel</w:t>
      </w:r>
    </w:p>
    <w:p>
      <w:pPr>
        <w:pStyle w:val="ListBullet"/>
        <w:ind w:left="360" w:hanging="360"/>
      </w:pPr>
      <w:r>
        <w:rPr>
          <w:rFonts w:ascii="Calibri" w:hAnsi="Calibri"/>
          <w:b/>
          <w:color w:val="525866"/>
          <w:sz w:val="22"/>
        </w:rPr>
        <w:t xml:space="preserve">American Express (AXP) — Q2 2026 Earnings Call (July 24, 2026): </w:t>
      </w:r>
      <w:r>
        <w:rPr>
          <w:rFonts w:ascii="Calibri" w:hAnsi="Calibri"/>
          <w:color w:val="525866"/>
          <w:sz w:val="22"/>
        </w:rPr>
        <w:t>Global travel bookings were up 22% YoY in the June quarter. Airline spend up 10% — the highest in six quarters. International Platinum card spending grew 20% FX-adjusted. Despite Middle East conflict impacts on regional travel, global travel remained strong. AXP noted that consumers are "offsetting" Middle East travel reductions with transactions in other categories and geographies.</w:t>
      </w:r>
    </w:p>
    <w:p>
      <w:pPr>
        <w:pStyle w:val="ListBullet"/>
        <w:ind w:left="360" w:hanging="360"/>
      </w:pPr>
      <w:r>
        <w:rPr>
          <w:rFonts w:ascii="Calibri" w:hAnsi="Calibri"/>
          <w:b/>
          <w:color w:val="30A46C"/>
          <w:sz w:val="22"/>
        </w:rPr>
        <w:t xml:space="preserve">Read-through for V: </w:t>
      </w:r>
      <w:r>
        <w:rPr>
          <w:rFonts w:ascii="Calibri" w:hAnsi="Calibri"/>
          <w:color w:val="525866"/>
          <w:sz w:val="22"/>
        </w:rPr>
        <w:t xml:space="preserve"> Strongly positive for Visa's cross-border travel line. AXP's June-quarter data directly covers Visa's Q3 2026 reporting period and suggests the FIFA World Cup and broader travel recovery more than offset the CEMEA headwind that management flagged at the Q2 earnings call.</w:t>
      </w:r>
    </w:p>
    <w:p>
      <w:pPr>
        <w:pStyle w:val="ListBullet"/>
        <w:ind w:left="360" w:hanging="360"/>
      </w:pPr>
      <w:r>
        <w:rPr>
          <w:rFonts w:ascii="Calibri" w:hAnsi="Calibri"/>
          <w:b/>
          <w:color w:val="525866"/>
          <w:sz w:val="22"/>
        </w:rPr>
        <w:t xml:space="preserve">Global Payments (GPN) — Mizuho Technology Conference (June 10, 2026): </w:t>
      </w:r>
      <w:r>
        <w:rPr>
          <w:rFonts w:ascii="Calibri" w:hAnsi="Calibri"/>
          <w:color w:val="525866"/>
          <w:sz w:val="22"/>
        </w:rPr>
        <w:t>GPN, which holds "the largest travel portfolio of any merchant acquirer globally," confirmed that the Middle East conflict created "a little bit of headwind" in Q2 2026 (ending June 30), with Middle Eastern airlines scaling back routes by 30%–70% and Lufthansa canceling 20,000 flights. GPN estimated a "100 basis points headwind" to its Q2 revenue from this impact. However, GPN's assumption for the back half of the year is that travel will "begin to normalize."</w:t>
      </w:r>
    </w:p>
    <w:p>
      <w:pPr>
        <w:pStyle w:val="ListBullet"/>
        <w:ind w:left="360" w:hanging="360"/>
      </w:pPr>
      <w:r>
        <w:rPr>
          <w:rFonts w:ascii="Calibri" w:hAnsi="Calibri"/>
          <w:b/>
          <w:color w:val="E5484D"/>
          <w:sz w:val="22"/>
        </w:rPr>
        <w:t xml:space="preserve">Read-through for V: </w:t>
      </w:r>
      <w:r>
        <w:rPr>
          <w:rFonts w:ascii="Calibri" w:hAnsi="Calibri"/>
          <w:color w:val="525866"/>
          <w:sz w:val="22"/>
        </w:rPr>
        <w:t xml:space="preserve"> Modestly negative for Visa's CEMEA cross-border travel volumes in Q3 2026. The 100 bps headwind GPN cited is consistent with Visa management's own flagging of CEMEA uncertainty at the Q2 earnings call. However, Visa's cross-border business is more diversified (e-commerce is ~40% of cross-border, and no single region exceeds 25% of inbound volume), so the impact should be contained.</w:t>
      </w:r>
    </w:p>
    <w:p>
      <w:pPr>
        <w:pStyle w:val="ListBullet"/>
        <w:ind w:left="360" w:hanging="360"/>
      </w:pPr>
      <w:r>
        <w:rPr>
          <w:rFonts w:ascii="Calibri" w:hAnsi="Calibri"/>
          <w:b/>
          <w:color w:val="525866"/>
          <w:sz w:val="22"/>
        </w:rPr>
        <w:t xml:space="preserve">Capital One (COF) — Q2 2026 Earnings Call (July 21, 2026): </w:t>
      </w:r>
      <w:r>
        <w:rPr>
          <w:rFonts w:ascii="Calibri" w:hAnsi="Calibri"/>
          <w:color w:val="525866"/>
          <w:sz w:val="22"/>
        </w:rPr>
        <w:t>COF highlighted "huge volume potential in business travel" through its Brex acquisition, indicating expected growth in commercial cross-border volumes in the current and upcoming quarters.</w:t>
      </w:r>
    </w:p>
    <w:p>
      <w:pPr>
        <w:pStyle w:val="ListBullet"/>
        <w:ind w:left="360" w:hanging="360"/>
      </w:pPr>
      <w:r>
        <w:rPr>
          <w:rFonts w:ascii="Calibri" w:hAnsi="Calibri"/>
          <w:b/>
          <w:color w:val="30A46C"/>
          <w:sz w:val="22"/>
        </w:rPr>
        <w:t xml:space="preserve">Read-through for V: </w:t>
      </w:r>
      <w:r>
        <w:rPr>
          <w:rFonts w:ascii="Calibri" w:hAnsi="Calibri"/>
          <w:color w:val="525866"/>
          <w:sz w:val="22"/>
        </w:rPr>
        <w:t xml:space="preserve"> Positive for Visa's commercial cross-border volumes, which management noted were at a record share of total cross-border in Q2 2026.</w:t>
      </w:r>
    </w:p>
    <w:p>
      <w:pPr>
        <w:pStyle w:val="Heading3"/>
      </w:pPr>
      <w:r>
        <w:rPr>
          <w:rFonts w:ascii="Calibri" w:hAnsi="Calibri"/>
          <w:b/>
          <w:color w:val="3B4259"/>
          <w:sz w:val="24"/>
        </w:rPr>
        <w:t>C. Network &amp; Processing Dynamics (Key Negative Read-Through)</w:t>
      </w:r>
    </w:p>
    <w:p>
      <w:pPr>
        <w:pStyle w:val="ListBullet"/>
        <w:ind w:left="360" w:hanging="360"/>
      </w:pPr>
      <w:r>
        <w:rPr>
          <w:rFonts w:ascii="Calibri" w:hAnsi="Calibri"/>
          <w:b/>
          <w:color w:val="525866"/>
          <w:sz w:val="22"/>
        </w:rPr>
        <w:t xml:space="preserve">Capital One (COF) — Q2 2026 Earnings Call (July 21, 2026) — NEGATIVE READ-THROUGH: </w:t>
      </w:r>
      <w:r>
        <w:rPr>
          <w:rFonts w:ascii="Calibri" w:hAnsi="Calibri"/>
          <w:color w:val="525866"/>
          <w:sz w:val="22"/>
        </w:rPr>
        <w:t>COF confirmed it has completed the "100% conversion of our debit portfolio over to the Discover network," calling it a "smashing success." COF is now testing originating legacy Capital One branded accounts on the Discover network and testing conversion of existing Capital One accounts to Discover. This represents a direct and material loss of debit volume for Visa.</w:t>
      </w:r>
    </w:p>
    <w:p>
      <w:pPr>
        <w:pStyle w:val="ListBullet"/>
        <w:ind w:left="360" w:hanging="360"/>
      </w:pPr>
      <w:r>
        <w:rPr>
          <w:rFonts w:ascii="Calibri" w:hAnsi="Calibri"/>
          <w:b/>
          <w:color w:val="E5484D"/>
          <w:sz w:val="22"/>
        </w:rPr>
        <w:t xml:space="preserve">Read-through for V: </w:t>
      </w:r>
      <w:r>
        <w:rPr>
          <w:rFonts w:ascii="Calibri" w:hAnsi="Calibri"/>
          <w:color w:val="525866"/>
          <w:sz w:val="22"/>
        </w:rPr>
        <w:t xml:space="preserve"> Negative. The completed debit migration is a known headwind to Visa's U.S. debit payments volume and processed transactions. The additional testing of credit card conversion to Discover signals a potential future loss of credit volume as well. This is the most significant negative peer read-through for Visa in the current quarter.</w:t>
      </w:r>
    </w:p>
    <w:p>
      <w:pPr>
        <w:pStyle w:val="ListBullet"/>
        <w:ind w:left="360" w:hanging="360"/>
      </w:pPr>
      <w:r>
        <w:rPr>
          <w:rFonts w:ascii="Calibri" w:hAnsi="Calibri"/>
          <w:b/>
          <w:color w:val="525866"/>
          <w:sz w:val="22"/>
        </w:rPr>
        <w:t xml:space="preserve">Mastercard (MA) — RBC Capital Markets FinTech Conference (June 9, 2026): </w:t>
      </w:r>
      <w:r>
        <w:rPr>
          <w:rFonts w:ascii="Calibri" w:hAnsi="Calibri"/>
          <w:color w:val="525866"/>
          <w:sz w:val="22"/>
        </w:rPr>
        <w:t>MA noted that domestic alternative payment methods (APMs) are "pretty good" but are "essentially all domestic only" and cannot serve consumers when they travel internationally. MA also highlighted that scammers will increasingly target APMs as they become more prevalent, reinforcing the security value proposition of global networks. MA identified agentic commerce and stablecoins as creating "net new addressable markets" — an estimated 20%–30% of e-commerce expected to shift to agentic models, with each agentic transaction potentially "splicing" into multiple network transactions.</w:t>
      </w:r>
    </w:p>
    <w:p>
      <w:pPr>
        <w:pStyle w:val="ListBullet"/>
        <w:ind w:left="360" w:hanging="360"/>
      </w:pPr>
      <w:r>
        <w:rPr>
          <w:rFonts w:ascii="Calibri" w:hAnsi="Calibri"/>
          <w:b/>
          <w:color w:val="30A46C"/>
          <w:sz w:val="22"/>
        </w:rPr>
        <w:t xml:space="preserve">Read-through for V: </w:t>
      </w:r>
      <w:r>
        <w:rPr>
          <w:rFonts w:ascii="Calibri" w:hAnsi="Calibri"/>
          <w:color w:val="525866"/>
          <w:sz w:val="22"/>
        </w:rPr>
        <w:t xml:space="preserve"> Positive for the long-term narrative, and constructive for the current quarter insofar as it validates the cross-border and security value proposition that underpins Visa's premium pricing. MA's agentic commerce framing is consistent with Visa's own messaging and suggests the Street is increasingly receptive to this growth vector.</w:t>
      </w:r>
    </w:p>
    <w:p>
      <w:pPr>
        <w:pStyle w:val="ListBullet"/>
        <w:ind w:left="360" w:hanging="360"/>
      </w:pPr>
      <w:r>
        <w:rPr>
          <w:rFonts w:ascii="Calibri" w:hAnsi="Calibri"/>
          <w:b/>
          <w:color w:val="525866"/>
          <w:sz w:val="22"/>
        </w:rPr>
        <w:t xml:space="preserve">PayPal (PYPL) — Evercore TMT Global Conference (June 3, 2026): </w:t>
      </w:r>
      <w:r>
        <w:rPr>
          <w:rFonts w:ascii="Calibri" w:hAnsi="Calibri"/>
          <w:color w:val="525866"/>
          <w:sz w:val="22"/>
        </w:rPr>
        <w:t>PYPL noted its friction rate is "at the lowest ever" following payment rail convergence between PayPal and Venmo. PYPL is enabling Venmo to "go internationally" and allowing Venmo users to send money to PayPal users internationally. PYPL is also enabling commerce on "agentic surfaces" and social platforms.</w:t>
      </w:r>
    </w:p>
    <w:p>
      <w:pPr>
        <w:pStyle w:val="ListBullet"/>
        <w:ind w:left="360" w:hanging="360"/>
      </w:pPr>
      <w:r>
        <w:rPr>
          <w:rFonts w:ascii="Calibri" w:hAnsi="Calibri"/>
          <w:b/>
          <w:color w:val="30A46C"/>
          <w:sz w:val="22"/>
        </w:rPr>
        <w:t xml:space="preserve">Read-through for V: </w:t>
      </w:r>
      <w:r>
        <w:rPr>
          <w:rFonts w:ascii="Calibri" w:hAnsi="Calibri"/>
          <w:color w:val="525866"/>
          <w:sz w:val="22"/>
        </w:rPr>
        <w:t xml:space="preserve"> Modestly positive. Improved authorization rates and cross-border expansion by a major digital wallet player imply more successful transactions flowing through underlying networks including Visa. The agentic commerce framing is consistent with Visa's own strategic narrative.</w:t>
      </w:r>
    </w:p>
    <w:p>
      <w:pPr>
        <w:pStyle w:val="Heading3"/>
      </w:pPr>
      <w:r>
        <w:rPr>
          <w:rFonts w:ascii="Calibri" w:hAnsi="Calibri"/>
          <w:b/>
          <w:color w:val="3B4259"/>
          <w:sz w:val="24"/>
        </w:rPr>
        <w:t>D. Commercial &amp; B2B Volumes</w:t>
      </w:r>
    </w:p>
    <w:p>
      <w:pPr>
        <w:pStyle w:val="ListBullet"/>
        <w:ind w:left="360" w:hanging="360"/>
      </w:pPr>
      <w:r>
        <w:rPr>
          <w:rFonts w:ascii="Calibri" w:hAnsi="Calibri"/>
          <w:b/>
          <w:color w:val="525866"/>
          <w:sz w:val="22"/>
        </w:rPr>
        <w:t xml:space="preserve">American Express (AXP) — Q2 2026 Earnings Call (July 24, 2026): </w:t>
      </w:r>
      <w:r>
        <w:rPr>
          <w:rFonts w:ascii="Calibri" w:hAnsi="Calibri"/>
          <w:color w:val="525866"/>
          <w:sz w:val="22"/>
        </w:rPr>
        <w:t>Commercial spending "picked up to 5%" in the June quarter, with an "uptick in SME billings over the last two quarters." Both U.S. small/medium and large global customers grew at the same pace.</w:t>
      </w:r>
    </w:p>
    <w:p>
      <w:pPr>
        <w:pStyle w:val="ListBullet"/>
        <w:ind w:left="360" w:hanging="360"/>
      </w:pPr>
      <w:r>
        <w:rPr>
          <w:rFonts w:ascii="Calibri" w:hAnsi="Calibri"/>
          <w:b/>
          <w:color w:val="30A46C"/>
          <w:sz w:val="22"/>
        </w:rPr>
        <w:t xml:space="preserve">Read-through for V: </w:t>
      </w:r>
      <w:r>
        <w:rPr>
          <w:rFonts w:ascii="Calibri" w:hAnsi="Calibri"/>
          <w:color w:val="525866"/>
          <w:sz w:val="22"/>
        </w:rPr>
        <w:t xml:space="preserve"> Positive for Visa's commercial payments volume, which grew 11% CC in Q2 2026 and was at a record share of cross-border. AXP's SME acceleration is consistent with Visa's own commercial momentum narrative.</w:t>
      </w:r>
    </w:p>
    <w:p>
      <w:pPr>
        <w:pStyle w:val="ListBullet"/>
        <w:ind w:left="360" w:hanging="360"/>
      </w:pPr>
      <w:r>
        <w:rPr>
          <w:rFonts w:ascii="Calibri" w:hAnsi="Calibri"/>
          <w:b/>
          <w:color w:val="525866"/>
          <w:sz w:val="22"/>
        </w:rPr>
        <w:t xml:space="preserve">Global Payments (GPN) — Mizuho Technology Conference (June 10, 2026): </w:t>
      </w:r>
      <w:r>
        <w:rPr>
          <w:rFonts w:ascii="Calibri" w:hAnsi="Calibri"/>
          <w:color w:val="525866"/>
          <w:sz w:val="22"/>
        </w:rPr>
        <w:t>GPN expressed confidence in "accelerating growth in the second half of 2026" driven by Genius POS momentum, new seller additions (targeting 500 new sellers in 2026), and new enterprise clients beginning to process volume. GPN's e-commerce business processes "$4 trillion of processing volume" across 100 billion transactions.</w:t>
      </w:r>
    </w:p>
    <w:p>
      <w:pPr>
        <w:pStyle w:val="ListBullet"/>
        <w:ind w:left="360" w:hanging="360"/>
      </w:pPr>
      <w:r>
        <w:rPr>
          <w:rFonts w:ascii="Calibri" w:hAnsi="Calibri"/>
          <w:b/>
          <w:color w:val="30A46C"/>
          <w:sz w:val="22"/>
        </w:rPr>
        <w:t xml:space="preserve">Read-through for V: </w:t>
      </w:r>
      <w:r>
        <w:rPr>
          <w:rFonts w:ascii="Calibri" w:hAnsi="Calibri"/>
          <w:color w:val="525866"/>
          <w:sz w:val="22"/>
        </w:rPr>
        <w:t xml:space="preserve"> Positive. Accelerating merchant acquisition and e-commerce volume growth at a major acquirer is a direct positive for Visa's processed transaction count and cross-border e-commerce volumes.</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Source / Date</w:t>
            </w:r>
          </w:p>
        </w:tc>
        <w:tc>
          <w:tcPr>
            <w:tcW w:type="dxa" w:w="2160"/>
            <w:shd w:val="clear" w:color="auto" w:fill="3B4259"/>
          </w:tcPr>
          <w:p>
            <w:r>
              <w:rPr>
                <w:rFonts w:ascii="Calibri" w:hAnsi="Calibri"/>
                <w:b/>
                <w:color w:val="FFFFFF"/>
                <w:sz w:val="22"/>
              </w:rPr>
              <w:t>Key Commentary (Q3 2026 Quarter)</w:t>
            </w:r>
          </w:p>
        </w:tc>
        <w:tc>
          <w:tcPr>
            <w:tcW w:type="dxa" w:w="2160"/>
            <w:shd w:val="clear" w:color="auto" w:fill="3B4259"/>
          </w:tcPr>
          <w:p>
            <w:r>
              <w:rPr>
                <w:rFonts w:ascii="Calibri" w:hAnsi="Calibri"/>
                <w:b/>
                <w:color w:val="FFFFFF"/>
                <w:sz w:val="22"/>
              </w:rPr>
              <w:t>Read-Through for V</w:t>
            </w:r>
          </w:p>
        </w:tc>
      </w:tr>
      <w:tr>
        <w:tc>
          <w:tcPr>
            <w:tcW w:type="dxa" w:w="2160"/>
          </w:tcPr>
          <w:p>
            <w:r>
              <w:rPr>
                <w:rFonts w:ascii="Calibri" w:hAnsi="Calibri"/>
                <w:sz w:val="22"/>
              </w:rPr>
              <w:t>AXP</w:t>
            </w:r>
          </w:p>
        </w:tc>
        <w:tc>
          <w:tcPr>
            <w:tcW w:type="dxa" w:w="2160"/>
          </w:tcPr>
          <w:p>
            <w:r>
              <w:rPr>
                <w:rFonts w:ascii="Calibri" w:hAnsi="Calibri"/>
                <w:sz w:val="22"/>
              </w:rPr>
              <w:t>Q2 2026 Earnings (Jul 24)</w:t>
            </w:r>
          </w:p>
        </w:tc>
        <w:tc>
          <w:tcPr>
            <w:tcW w:type="dxa" w:w="2160"/>
          </w:tcPr>
          <w:p>
            <w:r>
              <w:rPr>
                <w:rFonts w:ascii="Calibri" w:hAnsi="Calibri"/>
                <w:sz w:val="22"/>
              </w:rPr>
              <w:t>Spend +9% FX-adj (3-yr high); U.S. consumer +11%; travel bookings +22%; raised FY guidance to +10%</w:t>
            </w:r>
          </w:p>
        </w:tc>
        <w:tc>
          <w:tcPr>
            <w:tcW w:type="dxa" w:w="2160"/>
          </w:tcPr>
          <w:p>
            <w:r>
              <w:rPr>
                <w:rFonts w:ascii="Calibri" w:hAnsi="Calibri"/>
                <w:b/>
                <w:color w:val="30A46C"/>
                <w:sz w:val="22"/>
              </w:rPr>
              <w:t>Positive</w:t>
            </w:r>
          </w:p>
        </w:tc>
      </w:tr>
      <w:tr>
        <w:tc>
          <w:tcPr>
            <w:tcW w:type="dxa" w:w="2160"/>
          </w:tcPr>
          <w:p>
            <w:r>
              <w:rPr>
                <w:rFonts w:ascii="Calibri" w:hAnsi="Calibri"/>
                <w:sz w:val="22"/>
              </w:rPr>
              <w:t>COF</w:t>
            </w:r>
          </w:p>
        </w:tc>
        <w:tc>
          <w:tcPr>
            <w:tcW w:type="dxa" w:w="2160"/>
          </w:tcPr>
          <w:p>
            <w:r>
              <w:rPr>
                <w:rFonts w:ascii="Calibri" w:hAnsi="Calibri"/>
                <w:sz w:val="22"/>
              </w:rPr>
              <w:t>Q2 2026 Earnings (Jul 21)</w:t>
            </w:r>
          </w:p>
        </w:tc>
        <w:tc>
          <w:tcPr>
            <w:tcW w:type="dxa" w:w="2160"/>
          </w:tcPr>
          <w:p>
            <w:r>
              <w:rPr>
                <w:rFonts w:ascii="Calibri" w:hAnsi="Calibri"/>
                <w:sz w:val="22"/>
              </w:rPr>
              <w:t>Consumer resilient; purchase vol +14% YoY; credit metrics improving; debit 100% migrated to Discover</w:t>
            </w:r>
          </w:p>
        </w:tc>
        <w:tc>
          <w:tcPr>
            <w:tcW w:type="dxa" w:w="2160"/>
          </w:tcPr>
          <w:p>
            <w:r>
              <w:rPr>
                <w:rFonts w:ascii="Calibri" w:hAnsi="Calibri"/>
                <w:b/>
                <w:color w:val="E5484D"/>
                <w:sz w:val="22"/>
              </w:rPr>
              <w:t>Mixed (volume positive; debit migration negative)</w:t>
            </w:r>
          </w:p>
        </w:tc>
      </w:tr>
      <w:tr>
        <w:tc>
          <w:tcPr>
            <w:tcW w:type="dxa" w:w="2160"/>
          </w:tcPr>
          <w:p>
            <w:r>
              <w:rPr>
                <w:rFonts w:ascii="Calibri" w:hAnsi="Calibri"/>
                <w:sz w:val="22"/>
              </w:rPr>
              <w:t>GPN</w:t>
            </w:r>
          </w:p>
        </w:tc>
        <w:tc>
          <w:tcPr>
            <w:tcW w:type="dxa" w:w="2160"/>
          </w:tcPr>
          <w:p>
            <w:r>
              <w:rPr>
                <w:rFonts w:ascii="Calibri" w:hAnsi="Calibri"/>
                <w:sz w:val="22"/>
              </w:rPr>
              <w:t>Mizuho Conference (Jun 10)</w:t>
            </w:r>
          </w:p>
        </w:tc>
        <w:tc>
          <w:tcPr>
            <w:tcW w:type="dxa" w:w="2160"/>
          </w:tcPr>
          <w:p>
            <w:r>
              <w:rPr>
                <w:rFonts w:ascii="Calibri" w:hAnsi="Calibri"/>
                <w:sz w:val="22"/>
              </w:rPr>
              <w:t>Middle East travel headwind ~100 bps in Q2; expects normalization in H2; e-commerce $4T processing vol</w:t>
            </w:r>
          </w:p>
        </w:tc>
        <w:tc>
          <w:tcPr>
            <w:tcW w:type="dxa" w:w="2160"/>
          </w:tcPr>
          <w:p>
            <w:r>
              <w:rPr>
                <w:rFonts w:ascii="Calibri" w:hAnsi="Calibri"/>
                <w:b/>
                <w:color w:val="E5484D"/>
                <w:sz w:val="22"/>
              </w:rPr>
              <w:t>Mixed (e-comm positive; CEMEA travel negative)</w:t>
            </w:r>
          </w:p>
        </w:tc>
      </w:tr>
      <w:tr>
        <w:tc>
          <w:tcPr>
            <w:tcW w:type="dxa" w:w="2160"/>
          </w:tcPr>
          <w:p>
            <w:r>
              <w:rPr>
                <w:rFonts w:ascii="Calibri" w:hAnsi="Calibri"/>
                <w:sz w:val="22"/>
              </w:rPr>
              <w:t>MA</w:t>
            </w:r>
          </w:p>
        </w:tc>
        <w:tc>
          <w:tcPr>
            <w:tcW w:type="dxa" w:w="2160"/>
          </w:tcPr>
          <w:p>
            <w:r>
              <w:rPr>
                <w:rFonts w:ascii="Calibri" w:hAnsi="Calibri"/>
                <w:sz w:val="22"/>
              </w:rPr>
              <w:t>RBC FinTech Conference (Jun 9)</w:t>
            </w:r>
          </w:p>
        </w:tc>
        <w:tc>
          <w:tcPr>
            <w:tcW w:type="dxa" w:w="2160"/>
          </w:tcPr>
          <w:p>
            <w:r>
              <w:rPr>
                <w:rFonts w:ascii="Calibri" w:hAnsi="Calibri"/>
                <w:sz w:val="22"/>
              </w:rPr>
              <w:t>Secular digitization "very robust"; agentic + stablecoins = net new TAM; APMs limited to domestic</w:t>
            </w:r>
          </w:p>
        </w:tc>
        <w:tc>
          <w:tcPr>
            <w:tcW w:type="dxa" w:w="2160"/>
          </w:tcPr>
          <w:p>
            <w:r>
              <w:rPr>
                <w:rFonts w:ascii="Calibri" w:hAnsi="Calibri"/>
                <w:b/>
                <w:color w:val="30A46C"/>
                <w:sz w:val="22"/>
              </w:rPr>
              <w:t>Positive</w:t>
            </w:r>
          </w:p>
        </w:tc>
      </w:tr>
      <w:tr>
        <w:tc>
          <w:tcPr>
            <w:tcW w:type="dxa" w:w="2160"/>
          </w:tcPr>
          <w:p>
            <w:r>
              <w:rPr>
                <w:rFonts w:ascii="Calibri" w:hAnsi="Calibri"/>
                <w:sz w:val="22"/>
              </w:rPr>
              <w:t>FI</w:t>
            </w:r>
          </w:p>
        </w:tc>
        <w:tc>
          <w:tcPr>
            <w:tcW w:type="dxa" w:w="2160"/>
          </w:tcPr>
          <w:p>
            <w:r>
              <w:rPr>
                <w:rFonts w:ascii="Calibri" w:hAnsi="Calibri"/>
                <w:sz w:val="22"/>
              </w:rPr>
              <w:t>Baird Conference (Jun 2)</w:t>
            </w:r>
          </w:p>
        </w:tc>
        <w:tc>
          <w:tcPr>
            <w:tcW w:type="dxa" w:w="2160"/>
          </w:tcPr>
          <w:p>
            <w:r>
              <w:rPr>
                <w:rFonts w:ascii="Calibri" w:hAnsi="Calibri"/>
                <w:sz w:val="22"/>
              </w:rPr>
              <w:t>Volumes stable; Clover +10–15% vol growth; merchant solutions +6–8%; stable macro assumed</w:t>
            </w:r>
          </w:p>
        </w:tc>
        <w:tc>
          <w:tcPr>
            <w:tcW w:type="dxa" w:w="2160"/>
          </w:tcPr>
          <w:p>
            <w:r>
              <w:rPr>
                <w:rFonts w:ascii="Calibri" w:hAnsi="Calibri"/>
                <w:b/>
                <w:color w:val="30A46C"/>
                <w:sz w:val="22"/>
              </w:rPr>
              <w:t>Positive</w:t>
            </w:r>
          </w:p>
        </w:tc>
      </w:tr>
      <w:tr>
        <w:tc>
          <w:tcPr>
            <w:tcW w:type="dxa" w:w="2160"/>
          </w:tcPr>
          <w:p>
            <w:r>
              <w:rPr>
                <w:rFonts w:ascii="Calibri" w:hAnsi="Calibri"/>
                <w:sz w:val="22"/>
              </w:rPr>
              <w:t>PYPL</w:t>
            </w:r>
          </w:p>
        </w:tc>
        <w:tc>
          <w:tcPr>
            <w:tcW w:type="dxa" w:w="2160"/>
          </w:tcPr>
          <w:p>
            <w:r>
              <w:rPr>
                <w:rFonts w:ascii="Calibri" w:hAnsi="Calibri"/>
                <w:sz w:val="22"/>
              </w:rPr>
              <w:t>Evercore Conference (Jun 3)</w:t>
            </w:r>
          </w:p>
        </w:tc>
        <w:tc>
          <w:tcPr>
            <w:tcW w:type="dxa" w:w="2160"/>
          </w:tcPr>
          <w:p>
            <w:r>
              <w:rPr>
                <w:rFonts w:ascii="Calibri" w:hAnsi="Calibri"/>
                <w:sz w:val="22"/>
              </w:rPr>
              <w:t>Friction rate at all-time low; Venmo going international; agentic commerce surfaces expanding</w:t>
            </w:r>
          </w:p>
        </w:tc>
        <w:tc>
          <w:tcPr>
            <w:tcW w:type="dxa" w:w="2160"/>
          </w:tcPr>
          <w:p>
            <w:r>
              <w:rPr>
                <w:rFonts w:ascii="Calibri" w:hAnsi="Calibri"/>
                <w:b/>
                <w:color w:val="30A46C"/>
                <w:sz w:val="22"/>
              </w:rPr>
              <w:t>Modestly positive</w:t>
            </w:r>
          </w:p>
        </w:tc>
      </w:tr>
    </w:tbl>
    <w:p>
      <w:r>
        <w:rPr>
          <w:rFonts w:ascii="Calibri" w:hAnsi="Calibri"/>
          <w:b/>
          <w:color w:val="525866"/>
          <w:sz w:val="22"/>
        </w:rPr>
        <w:t xml:space="preserve">Sources: </w:t>
      </w:r>
      <w:r>
        <w:rPr>
          <w:rFonts w:ascii="Calibri" w:hAnsi="Calibri"/>
          <w:color w:val="525866"/>
          <w:sz w:val="22"/>
        </w:rPr>
        <w:t>AXP Q2 2026 Earnings Call transcript (July 24, 2026); COF Q2 2026 Earnings Call transcript (July 21, 2026); GPN Mizuho Technology Conference transcript (June 10, 2026); MA RBC Capital Markets Financial Technology Conference transcript (June 9, 2026); FI Baird Global Consumer Conference transcript (June 2, 2026); PYPL Evercore TMT Global Conference transcript (June 3, 2026).</w:t>
      </w:r>
    </w:p>
    <w:p>
      <w:r>
        <w:br w:type="page"/>
      </w:r>
    </w:p>
    <w:p>
      <w:pPr>
        <w:pStyle w:val="Heading2"/>
      </w:pPr>
      <w:r>
        <w:rPr>
          <w:rFonts w:ascii="Calibri" w:hAnsi="Calibri"/>
          <w:b/>
          <w:color w:val="3B4259"/>
          <w:sz w:val="28"/>
        </w:rPr>
        <w:t>7. Material News &amp; Developments (Since April 28, 2026)</w:t>
      </w:r>
    </w:p>
    <w:p>
      <w:r>
        <w:rPr>
          <w:rFonts w:ascii="Calibri" w:hAnsi="Calibri"/>
          <w:b/>
          <w:color w:val="525866"/>
          <w:sz w:val="22"/>
        </w:rPr>
        <w:t xml:space="preserve">Key Takeaway: </w:t>
      </w:r>
      <w:r>
        <w:rPr>
          <w:rFonts w:ascii="Calibri" w:hAnsi="Calibri"/>
          <w:color w:val="525866"/>
          <w:sz w:val="22"/>
        </w:rPr>
        <w:t>The most important development since the Q2 print is the $250M litigation escrow deposit on June 24, 2026, which signals continued progress on the MDL settlement and has a mechanical EPS-accretive effect via Class B conversion rate reductions. The FIFA World Cup tailwind and the Wells Fargo/Pismo win are the most positive strategic developments.</w:t>
      </w:r>
    </w:p>
    <w:p>
      <w:pPr>
        <w:pStyle w:val="ListBullet"/>
        <w:ind w:left="360" w:hanging="360"/>
      </w:pPr>
      <w:r>
        <w:rPr>
          <w:rFonts w:ascii="Calibri" w:hAnsi="Calibri"/>
          <w:b/>
          <w:color w:val="525866"/>
          <w:sz w:val="22"/>
        </w:rPr>
        <w:t xml:space="preserve">June 24–25, 2026 — $250M Litigation Escrow Deposit (8-K): </w:t>
      </w:r>
      <w:r>
        <w:rPr>
          <w:rFonts w:ascii="Calibri" w:hAnsi="Calibri"/>
          <w:color w:val="525866"/>
          <w:sz w:val="22"/>
        </w:rPr>
        <w:t xml:space="preserve">Visa authorized a $250M deposit into the U.S. litigation escrow account under its retrospective responsibility plan. This triggered downward adjustments to Class B-1, B-2, and B-3 conversion rates (effective June 25, 2026): B-1 from 1.5475 to 1.5445; B-2 from 1.5075 to 1.5014; B-3 from 1.5075 to 1.4953. The as-converted B-3 share count was reduced by ~740,184 shares. Management noted these adjustments have "the same effect on earnings per share as repurchasing the Company's class A common stock." </w:t>
      </w:r>
    </w:p>
    <w:p>
      <w:pPr>
        <w:pStyle w:val="ListBullet"/>
        <w:ind w:left="360" w:hanging="360"/>
      </w:pPr>
      <w:r>
        <w:rPr>
          <w:rFonts w:ascii="Calibri" w:hAnsi="Calibri"/>
          <w:b/>
          <w:color w:val="525866"/>
          <w:sz w:val="22"/>
        </w:rPr>
        <w:t xml:space="preserve">Implication: </w:t>
      </w:r>
      <w:r>
        <w:rPr>
          <w:rFonts w:ascii="Calibri" w:hAnsi="Calibri"/>
          <w:color w:val="525866"/>
          <w:sz w:val="22"/>
        </w:rPr>
        <w:t>Modestly EPS-accretive via share count reduction. More importantly, signals continued progress on the MDL settlement framework. The $250M deposit follows the $125M deposit in Q2 2026 and the May 2026 makewhole agreement, suggesting the settlement process is advancing on schedule. Source: Visa 8-K filed June 26, 2026.</w:t>
      </w:r>
    </w:p>
    <w:p>
      <w:pPr>
        <w:pStyle w:val="ListBullet"/>
        <w:ind w:left="360" w:hanging="360"/>
      </w:pPr>
      <w:r>
        <w:rPr>
          <w:rFonts w:ascii="Calibri" w:hAnsi="Calibri"/>
          <w:b/>
          <w:color w:val="525866"/>
          <w:sz w:val="22"/>
        </w:rPr>
        <w:t xml:space="preserve">May 12, 2026 — Makewhole Agreement Finalized (8-K): </w:t>
      </w:r>
      <w:r>
        <w:rPr>
          <w:rFonts w:ascii="Calibri" w:hAnsi="Calibri"/>
          <w:color w:val="525866"/>
          <w:sz w:val="22"/>
        </w:rPr>
        <w:t>Visa finalized makewhole agreements tied to the $17.4 billion MDL litigation settlement, following the expiration and results of the stock exchange offer (announced May 11, 2026). This represents a significant milestone in resolving the long-standing interchange litigation overhang.</w:t>
      </w:r>
    </w:p>
    <w:p>
      <w:pPr>
        <w:pStyle w:val="ListBullet"/>
        <w:ind w:left="360" w:hanging="360"/>
      </w:pPr>
      <w:r>
        <w:rPr>
          <w:rFonts w:ascii="Calibri" w:hAnsi="Calibri"/>
          <w:b/>
          <w:color w:val="525866"/>
          <w:sz w:val="22"/>
        </w:rPr>
        <w:t xml:space="preserve">Implication: </w:t>
      </w:r>
      <w:r>
        <w:rPr>
          <w:rFonts w:ascii="Calibri" w:hAnsi="Calibri"/>
          <w:color w:val="525866"/>
          <w:sz w:val="22"/>
        </w:rPr>
        <w:t>Reduces litigation uncertainty and removes a key overhang that has weighed on Visa's valuation discount to Mastercard. Source: Visa 8-K filed May 12, 2026.</w:t>
      </w:r>
    </w:p>
    <w:p>
      <w:pPr>
        <w:pStyle w:val="ListBullet"/>
        <w:ind w:left="360" w:hanging="360"/>
      </w:pPr>
      <w:r>
        <w:rPr>
          <w:rFonts w:ascii="Calibri" w:hAnsi="Calibri"/>
          <w:b/>
          <w:color w:val="525866"/>
          <w:sz w:val="22"/>
        </w:rPr>
        <w:t xml:space="preserve">April 28, 2026 — $20B Share Repurchase Authorization: </w:t>
      </w:r>
      <w:r>
        <w:rPr>
          <w:rFonts w:ascii="Calibri" w:hAnsi="Calibri"/>
          <w:color w:val="525866"/>
          <w:sz w:val="22"/>
        </w:rPr>
        <w:t>The Board authorized a new $20B multiyear share repurchase program, bringing total buyback capacity to ~$33B. This follows the record $7.9B quarterly buyback in Q2 2026.</w:t>
      </w:r>
    </w:p>
    <w:p>
      <w:pPr>
        <w:pStyle w:val="ListBullet"/>
        <w:ind w:left="360" w:hanging="360"/>
      </w:pPr>
      <w:r>
        <w:rPr>
          <w:rFonts w:ascii="Calibri" w:hAnsi="Calibri"/>
          <w:b/>
          <w:color w:val="525866"/>
          <w:sz w:val="22"/>
        </w:rPr>
        <w:t xml:space="preserve">Implication: </w:t>
      </w:r>
      <w:r>
        <w:rPr>
          <w:rFonts w:ascii="Calibri" w:hAnsi="Calibri"/>
          <w:color w:val="525866"/>
          <w:sz w:val="22"/>
        </w:rPr>
        <w:t>Signals management confidence in free cash flow generation and provides a durable EPS tailwind. Expect continued aggressive buyback activity in Q3 2026. Source: Visa Q2 2026 Earnings Call.</w:t>
      </w:r>
    </w:p>
    <w:p>
      <w:pPr>
        <w:pStyle w:val="ListBullet"/>
        <w:ind w:left="360" w:hanging="360"/>
      </w:pPr>
      <w:r>
        <w:rPr>
          <w:rFonts w:ascii="Calibri" w:hAnsi="Calibri"/>
          <w:b/>
          <w:color w:val="525866"/>
          <w:sz w:val="22"/>
        </w:rPr>
        <w:t xml:space="preserve">April 28, 2026 — Wells Fargo / Pismo Core Banking Win: </w:t>
      </w:r>
      <w:r>
        <w:rPr>
          <w:rFonts w:ascii="Calibri" w:hAnsi="Calibri"/>
          <w:color w:val="525866"/>
          <w:sz w:val="22"/>
        </w:rPr>
        <w:t>Visa announced that Wells Fargo has entered into an agreement to migrate to Pismo's core account ledger as part of its core banking modernization. This is the first large U.S. bank to adopt Pismo's platform.</w:t>
      </w:r>
    </w:p>
    <w:p>
      <w:pPr>
        <w:pStyle w:val="ListBullet"/>
        <w:ind w:left="360" w:hanging="360"/>
      </w:pPr>
      <w:r>
        <w:rPr>
          <w:rFonts w:ascii="Calibri" w:hAnsi="Calibri"/>
          <w:b/>
          <w:color w:val="525866"/>
          <w:sz w:val="22"/>
        </w:rPr>
        <w:t xml:space="preserve">Implication: </w:t>
      </w:r>
      <w:r>
        <w:rPr>
          <w:rFonts w:ascii="Calibri" w:hAnsi="Calibri"/>
          <w:color w:val="525866"/>
          <w:sz w:val="22"/>
        </w:rPr>
        <w:t>Validates Pismo's readiness for large-bank deployments and expands the VAS revenue opportunity. Pismo revenue is reported in the "Other Revenue" line within VAS. Source: Visa Q2 2026 Earnings Call.</w:t>
      </w:r>
    </w:p>
    <w:p>
      <w:pPr>
        <w:pStyle w:val="ListBullet"/>
        <w:ind w:left="360" w:hanging="360"/>
      </w:pPr>
      <w:r>
        <w:rPr>
          <w:rFonts w:ascii="Calibri" w:hAnsi="Calibri"/>
          <w:b/>
          <w:color w:val="525866"/>
          <w:sz w:val="22"/>
        </w:rPr>
        <w:t xml:space="preserve">May 27, 2026 — €500M European Investment Announcement: </w:t>
      </w:r>
      <w:r>
        <w:rPr>
          <w:rFonts w:ascii="Calibri" w:hAnsi="Calibri"/>
          <w:color w:val="525866"/>
          <w:sz w:val="22"/>
        </w:rPr>
        <w:t>Visa announced a €500M incremental investment in Europe over the next decade, including a new Eurozone data center for local processing, a new Frankfurt headquarters/Eurozone branch office, a new European Innovation Centre, a Technology and Solutions Centre in Warsaw (opening March 2027), and a new European Cyber Fusion Centre.</w:t>
      </w:r>
    </w:p>
    <w:p>
      <w:pPr>
        <w:pStyle w:val="ListBullet"/>
        <w:ind w:left="360" w:hanging="360"/>
      </w:pPr>
      <w:r>
        <w:rPr>
          <w:rFonts w:ascii="Calibri" w:hAnsi="Calibri"/>
          <w:b/>
          <w:color w:val="525866"/>
          <w:sz w:val="22"/>
        </w:rPr>
        <w:t xml:space="preserve">Implication: </w:t>
      </w:r>
      <w:r>
        <w:rPr>
          <w:rFonts w:ascii="Calibri" w:hAnsi="Calibri"/>
          <w:color w:val="525866"/>
          <w:sz w:val="22"/>
        </w:rPr>
        <w:t>Directly addresses European payments nationalism concerns and positions Visa to defend and grow share against domestic schemes. Announced one day before the Bernstein conference (May 28). Source: Bernstein Strategic Decisions Conference transcript (May 28, 2026).</w:t>
      </w:r>
    </w:p>
    <w:p>
      <w:pPr>
        <w:pStyle w:val="ListBullet"/>
        <w:ind w:left="360" w:hanging="360"/>
      </w:pPr>
      <w:r>
        <w:rPr>
          <w:rFonts w:ascii="Calibri" w:hAnsi="Calibri"/>
          <w:b/>
          <w:color w:val="525866"/>
          <w:sz w:val="22"/>
        </w:rPr>
        <w:t xml:space="preserve">April 28, 2026 — Prisma / Newpay Acquisition (Argentina): </w:t>
      </w:r>
      <w:r>
        <w:rPr>
          <w:rFonts w:ascii="Calibri" w:hAnsi="Calibri"/>
          <w:color w:val="525866"/>
          <w:sz w:val="22"/>
        </w:rPr>
        <w:t>Visa announced the acquisition of Prisma (credit/debit/prepaid issuer processor) and Newpay (RTP network + ATM network) in Argentina. The combined platforms are expected to accelerate tokenization, biometric authentication, and agentic commerce in Argentina, where RTP and ACH networks comprise 45% of PCE.</w:t>
      </w:r>
    </w:p>
    <w:p>
      <w:pPr>
        <w:pStyle w:val="ListBullet"/>
        <w:ind w:left="360" w:hanging="360"/>
      </w:pPr>
      <w:r>
        <w:rPr>
          <w:rFonts w:ascii="Calibri" w:hAnsi="Calibri"/>
          <w:b/>
          <w:color w:val="525866"/>
          <w:sz w:val="22"/>
        </w:rPr>
        <w:t xml:space="preserve">Implication: </w:t>
      </w:r>
      <w:r>
        <w:rPr>
          <w:rFonts w:ascii="Calibri" w:hAnsi="Calibri"/>
          <w:color w:val="525866"/>
          <w:sz w:val="22"/>
        </w:rPr>
        <w:t>Adds ~0.5 pp to Q3 net revenue growth and ~2 pp to operating expense growth (per Q2 guidance). Strategically important for capturing non-card payment flows in a large Latin American market. Source: Visa Q2 2026 Earnings Call.</w:t>
      </w:r>
    </w:p>
    <w:p>
      <w:pPr>
        <w:pStyle w:val="ListBullet"/>
        <w:ind w:left="360" w:hanging="360"/>
      </w:pPr>
      <w:r>
        <w:rPr>
          <w:rFonts w:ascii="Calibri" w:hAnsi="Calibri"/>
          <w:b/>
          <w:color w:val="525866"/>
          <w:sz w:val="22"/>
        </w:rPr>
        <w:t xml:space="preserve">July 15, 2026 — Bylaw Amendment (8-K): </w:t>
      </w:r>
      <w:r>
        <w:rPr>
          <w:rFonts w:ascii="Calibri" w:hAnsi="Calibri"/>
          <w:color w:val="525866"/>
          <w:sz w:val="22"/>
        </w:rPr>
        <w:t>Visa amended its bylaws to designate exclusive legal forums for shareholder disputes.</w:t>
      </w:r>
    </w:p>
    <w:p>
      <w:pPr>
        <w:pStyle w:val="ListBullet"/>
        <w:ind w:left="360" w:hanging="360"/>
      </w:pPr>
      <w:r>
        <w:rPr>
          <w:rFonts w:ascii="Calibri" w:hAnsi="Calibri"/>
          <w:b/>
          <w:color w:val="525866"/>
          <w:sz w:val="22"/>
        </w:rPr>
        <w:t xml:space="preserve">Implication: </w:t>
      </w:r>
      <w:r>
        <w:rPr>
          <w:rFonts w:ascii="Calibri" w:hAnsi="Calibri"/>
          <w:color w:val="525866"/>
          <w:sz w:val="22"/>
        </w:rPr>
        <w:t>Routine governance action; no material financial impact. Source: Visa 8-K filed July 15, 2026.</w:t>
      </w:r>
    </w:p>
    <w:p>
      <w:pPr>
        <w:pStyle w:val="ListBullet"/>
        <w:ind w:left="360" w:hanging="360"/>
      </w:pPr>
      <w:r>
        <w:rPr>
          <w:rFonts w:ascii="Calibri" w:hAnsi="Calibri"/>
          <w:b/>
          <w:color w:val="525866"/>
          <w:sz w:val="22"/>
        </w:rPr>
        <w:t xml:space="preserve">FIFA World Cup 2026 (Ongoing — June/July 2026): </w:t>
      </w:r>
      <w:r>
        <w:rPr>
          <w:rFonts w:ascii="Calibri" w:hAnsi="Calibri"/>
          <w:color w:val="525866"/>
          <w:sz w:val="22"/>
        </w:rPr>
        <w:t>The FIFA World Cup began in June 2026, with Visa as a major sponsor. Management at the Q2 earnings call cited "increased enthusiasm from clients" for FIFA-related marketing services as a driver of the raised FY26 VAS revenue guidance. CFO at JP Morgan (May 19) noted the World Cup was "only about 20 days away" and cited a LAC client with 20M cards seeing a 10% uplift in active cards from a FIFA campaign.</w:t>
      </w:r>
    </w:p>
    <w:p>
      <w:pPr>
        <w:pStyle w:val="ListBullet"/>
        <w:ind w:left="360" w:hanging="360"/>
      </w:pPr>
      <w:r>
        <w:rPr>
          <w:rFonts w:ascii="Calibri" w:hAnsi="Calibri"/>
          <w:b/>
          <w:color w:val="525866"/>
          <w:sz w:val="22"/>
        </w:rPr>
        <w:t xml:space="preserve">Implication: </w:t>
      </w:r>
      <w:r>
        <w:rPr>
          <w:rFonts w:ascii="Calibri" w:hAnsi="Calibri"/>
          <w:color w:val="525866"/>
          <w:sz w:val="22"/>
        </w:rPr>
        <w:t>Positive for both VAS (marketing services revenue) and cross-border travel volumes (inbound to host countries). This is the single largest positive wildcard for Q3 2026 revenue vs. consensus. Source: JP Morgan Global Technology, Media and Communications Conference transcript (May 19, 2026); Visa Q2 2026 Earnings Call.</w:t>
      </w:r>
    </w:p>
    <w:p>
      <w:r>
        <w:br w:type="page"/>
      </w:r>
    </w:p>
    <w:p>
      <w:pPr>
        <w:pStyle w:val="Heading2"/>
      </w:pPr>
      <w:r>
        <w:rPr>
          <w:rFonts w:ascii="Calibri" w:hAnsi="Calibri"/>
          <w:b/>
          <w:color w:val="3B4259"/>
          <w:sz w:val="28"/>
        </w:rPr>
        <w:t>8. Insider Transaction Activity (Since April 28, 2026)</w:t>
      </w:r>
    </w:p>
    <w:p>
      <w:r>
        <w:rPr>
          <w:rFonts w:ascii="Calibri" w:hAnsi="Calibri"/>
          <w:b/>
          <w:color w:val="525866"/>
          <w:sz w:val="22"/>
        </w:rPr>
        <w:t xml:space="preserve">Key Takeaway: </w:t>
      </w:r>
      <w:r>
        <w:rPr>
          <w:rFonts w:ascii="Calibri" w:hAnsi="Calibri"/>
          <w:color w:val="525866"/>
          <w:sz w:val="22"/>
        </w:rPr>
        <w:t>All insider transactions since the Q2 earnings date are 10b5-1 plan-driven option exercises followed by same-day sales — a routine, pre-scheduled pattern with no discretionary signal. The CFO's May 12 sale is the only transaction not flagged as part of a 10b5-1 plan, but the size (~10,639 shares) is consistent with normal compensation-related selling. No open-market buys; no unusual clustering or size.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 (Effective)</w:t>
            </w:r>
          </w:p>
        </w:tc>
        <w:tc>
          <w:tcPr>
            <w:tcW w:type="dxa" w:w="1234"/>
            <w:shd w:val="clear" w:color="auto" w:fill="3B4259"/>
          </w:tcPr>
          <w:p>
            <w:r>
              <w:rPr>
                <w:rFonts w:ascii="Calibri" w:hAnsi="Calibri"/>
                <w:b/>
                <w:color w:val="FFFFFF"/>
                <w:sz w:val="22"/>
              </w:rPr>
              <w:t>Disclosure Date (Form 4 Filed)</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Ryan McInerney</w:t>
            </w:r>
          </w:p>
        </w:tc>
        <w:tc>
          <w:tcPr>
            <w:tcW w:type="dxa" w:w="1234"/>
          </w:tcPr>
          <w:p>
            <w:r>
              <w:rPr>
                <w:rFonts w:ascii="Calibri" w:hAnsi="Calibri"/>
                <w:sz w:val="22"/>
              </w:rPr>
              <w:t>CEO &amp; Director</w:t>
            </w:r>
          </w:p>
        </w:tc>
        <w:tc>
          <w:tcPr>
            <w:tcW w:type="dxa" w:w="1234"/>
          </w:tcPr>
          <w:p>
            <w:r>
              <w:rPr>
                <w:rFonts w:ascii="Calibri" w:hAnsi="Calibri"/>
                <w:sz w:val="22"/>
              </w:rPr>
              <w:t>10b5-1 Planned Sale (option exercise + same-day sale)</w:t>
            </w:r>
          </w:p>
        </w:tc>
        <w:tc>
          <w:tcPr>
            <w:tcW w:type="dxa" w:w="1234"/>
          </w:tcPr>
          <w:p>
            <w:r>
              <w:rPr>
                <w:rFonts w:ascii="Calibri" w:hAnsi="Calibri"/>
                <w:sz w:val="22"/>
              </w:rPr>
              <w:t>31,455 shares sold</w:t>
            </w:r>
          </w:p>
        </w:tc>
        <w:tc>
          <w:tcPr>
            <w:tcW w:type="dxa" w:w="1234"/>
          </w:tcPr>
          <w:p>
            <w:r>
              <w:rPr>
                <w:rFonts w:ascii="Calibri" w:hAnsi="Calibri"/>
                <w:sz w:val="22"/>
              </w:rPr>
              <w:t>April 29, 2026</w:t>
            </w:r>
          </w:p>
        </w:tc>
        <w:tc>
          <w:tcPr>
            <w:tcW w:type="dxa" w:w="1234"/>
          </w:tcPr>
          <w:p>
            <w:r>
              <w:rPr>
                <w:rFonts w:ascii="Calibri" w:hAnsi="Calibri"/>
                <w:sz w:val="22"/>
              </w:rPr>
              <w:t>April 30, 2026</w:t>
            </w:r>
          </w:p>
        </w:tc>
        <w:tc>
          <w:tcPr>
            <w:tcW w:type="dxa" w:w="1234"/>
          </w:tcPr>
          <w:p>
            <w:r>
              <w:rPr>
                <w:rFonts w:ascii="Calibri" w:hAnsi="Calibri"/>
                <w:sz w:val="22"/>
              </w:rPr>
              <w:t>10b5-1 plan; option exercise (M code) + same-day sale (S code); routine compensation-driven.</w:t>
            </w:r>
          </w:p>
        </w:tc>
      </w:tr>
      <w:tr>
        <w:tc>
          <w:tcPr>
            <w:tcW w:type="dxa" w:w="1234"/>
          </w:tcPr>
          <w:p>
            <w:r>
              <w:rPr>
                <w:rFonts w:ascii="Calibri" w:hAnsi="Calibri"/>
                <w:sz w:val="22"/>
              </w:rPr>
              <w:t>Chris Suh</w:t>
            </w:r>
          </w:p>
        </w:tc>
        <w:tc>
          <w:tcPr>
            <w:tcW w:type="dxa" w:w="1234"/>
          </w:tcPr>
          <w:p>
            <w:r>
              <w:rPr>
                <w:rFonts w:ascii="Calibri" w:hAnsi="Calibri"/>
                <w:sz w:val="22"/>
              </w:rPr>
              <w:t>CFO</w:t>
            </w:r>
          </w:p>
        </w:tc>
        <w:tc>
          <w:tcPr>
            <w:tcW w:type="dxa" w:w="1234"/>
          </w:tcPr>
          <w:p>
            <w:r>
              <w:rPr>
                <w:rFonts w:ascii="Calibri" w:hAnsi="Calibri"/>
                <w:sz w:val="22"/>
              </w:rPr>
              <w:t>Open Market Sale</w:t>
            </w:r>
          </w:p>
        </w:tc>
        <w:tc>
          <w:tcPr>
            <w:tcW w:type="dxa" w:w="1234"/>
          </w:tcPr>
          <w:p>
            <w:r>
              <w:rPr>
                <w:rFonts w:ascii="Calibri" w:hAnsi="Calibri"/>
                <w:sz w:val="22"/>
              </w:rPr>
              <w:t>10,639 shares sold</w:t>
            </w:r>
          </w:p>
        </w:tc>
        <w:tc>
          <w:tcPr>
            <w:tcW w:type="dxa" w:w="1234"/>
          </w:tcPr>
          <w:p>
            <w:r>
              <w:rPr>
                <w:rFonts w:ascii="Calibri" w:hAnsi="Calibri"/>
                <w:sz w:val="22"/>
              </w:rPr>
              <w:t>May 12, 2026</w:t>
            </w:r>
          </w:p>
        </w:tc>
        <w:tc>
          <w:tcPr>
            <w:tcW w:type="dxa" w:w="1234"/>
          </w:tcPr>
          <w:p>
            <w:r>
              <w:rPr>
                <w:rFonts w:ascii="Calibri" w:hAnsi="Calibri"/>
                <w:sz w:val="22"/>
              </w:rPr>
              <w:t>May 13, 2026</w:t>
            </w:r>
          </w:p>
        </w:tc>
        <w:tc>
          <w:tcPr>
            <w:tcW w:type="dxa" w:w="1234"/>
          </w:tcPr>
          <w:p>
            <w:r>
              <w:rPr>
                <w:rFonts w:ascii="Calibri" w:hAnsi="Calibri"/>
                <w:sz w:val="22"/>
              </w:rPr>
              <w:t>Not flagged as 10b5-1 in dataset; size consistent with normal compensation-related selling. No discretionary buy signal.</w:t>
            </w:r>
          </w:p>
        </w:tc>
      </w:tr>
      <w:tr>
        <w:tc>
          <w:tcPr>
            <w:tcW w:type="dxa" w:w="1234"/>
          </w:tcPr>
          <w:p>
            <w:r>
              <w:rPr>
                <w:rFonts w:ascii="Calibri" w:hAnsi="Calibri"/>
                <w:sz w:val="22"/>
              </w:rPr>
              <w:t>Ryan McInerney</w:t>
            </w:r>
          </w:p>
        </w:tc>
        <w:tc>
          <w:tcPr>
            <w:tcW w:type="dxa" w:w="1234"/>
          </w:tcPr>
          <w:p>
            <w:r>
              <w:rPr>
                <w:rFonts w:ascii="Calibri" w:hAnsi="Calibri"/>
                <w:sz w:val="22"/>
              </w:rPr>
              <w:t>CEO &amp; Director</w:t>
            </w:r>
          </w:p>
        </w:tc>
        <w:tc>
          <w:tcPr>
            <w:tcW w:type="dxa" w:w="1234"/>
          </w:tcPr>
          <w:p>
            <w:r>
              <w:rPr>
                <w:rFonts w:ascii="Calibri" w:hAnsi="Calibri"/>
                <w:sz w:val="22"/>
              </w:rPr>
              <w:t>10b5-1 Planned Sale (option exercise + same-day sale)</w:t>
            </w:r>
          </w:p>
        </w:tc>
        <w:tc>
          <w:tcPr>
            <w:tcW w:type="dxa" w:w="1234"/>
          </w:tcPr>
          <w:p>
            <w:r>
              <w:rPr>
                <w:rFonts w:ascii="Calibri" w:hAnsi="Calibri"/>
                <w:sz w:val="22"/>
              </w:rPr>
              <w:t>20,970 shares sold</w:t>
            </w:r>
          </w:p>
        </w:tc>
        <w:tc>
          <w:tcPr>
            <w:tcW w:type="dxa" w:w="1234"/>
          </w:tcPr>
          <w:p>
            <w:r>
              <w:rPr>
                <w:rFonts w:ascii="Calibri" w:hAnsi="Calibri"/>
                <w:sz w:val="22"/>
              </w:rPr>
              <w:t>June 29, 2026</w:t>
            </w:r>
          </w:p>
        </w:tc>
        <w:tc>
          <w:tcPr>
            <w:tcW w:type="dxa" w:w="1234"/>
          </w:tcPr>
          <w:p>
            <w:r>
              <w:rPr>
                <w:rFonts w:ascii="Calibri" w:hAnsi="Calibri"/>
                <w:sz w:val="22"/>
              </w:rPr>
              <w:t>June 30, 2026</w:t>
            </w:r>
          </w:p>
        </w:tc>
        <w:tc>
          <w:tcPr>
            <w:tcW w:type="dxa" w:w="1234"/>
          </w:tcPr>
          <w:p>
            <w:r>
              <w:rPr>
                <w:rFonts w:ascii="Calibri" w:hAnsi="Calibri"/>
                <w:sz w:val="22"/>
              </w:rPr>
              <w:t>10b5-1 plan; option exercise (M code) + same-day sale (S code); routine compensation-driven.</w:t>
            </w:r>
          </w:p>
        </w:tc>
      </w:tr>
      <w:tr>
        <w:tc>
          <w:tcPr>
            <w:tcW w:type="dxa" w:w="1234"/>
          </w:tcPr>
          <w:p>
            <w:r>
              <w:rPr>
                <w:rFonts w:ascii="Calibri" w:hAnsi="Calibri"/>
                <w:sz w:val="22"/>
              </w:rPr>
              <w:t>Ryan McInerney</w:t>
            </w:r>
          </w:p>
        </w:tc>
        <w:tc>
          <w:tcPr>
            <w:tcW w:type="dxa" w:w="1234"/>
          </w:tcPr>
          <w:p>
            <w:r>
              <w:rPr>
                <w:rFonts w:ascii="Calibri" w:hAnsi="Calibri"/>
                <w:sz w:val="22"/>
              </w:rPr>
              <w:t>CEO &amp; Director</w:t>
            </w:r>
          </w:p>
        </w:tc>
        <w:tc>
          <w:tcPr>
            <w:tcW w:type="dxa" w:w="1234"/>
          </w:tcPr>
          <w:p>
            <w:r>
              <w:rPr>
                <w:rFonts w:ascii="Calibri" w:hAnsi="Calibri"/>
                <w:sz w:val="22"/>
              </w:rPr>
              <w:t>10b5-1 Planned Sale (option exercise + same-day sale)</w:t>
            </w:r>
          </w:p>
        </w:tc>
        <w:tc>
          <w:tcPr>
            <w:tcW w:type="dxa" w:w="1234"/>
          </w:tcPr>
          <w:p>
            <w:r>
              <w:rPr>
                <w:rFonts w:ascii="Calibri" w:hAnsi="Calibri"/>
                <w:sz w:val="22"/>
              </w:rPr>
              <w:t>10,490 shares sold</w:t>
            </w:r>
          </w:p>
        </w:tc>
        <w:tc>
          <w:tcPr>
            <w:tcW w:type="dxa" w:w="1234"/>
          </w:tcPr>
          <w:p>
            <w:r>
              <w:rPr>
                <w:rFonts w:ascii="Calibri" w:hAnsi="Calibri"/>
                <w:sz w:val="22"/>
              </w:rPr>
              <w:t>July 1, 2026</w:t>
            </w:r>
          </w:p>
        </w:tc>
        <w:tc>
          <w:tcPr>
            <w:tcW w:type="dxa" w:w="1234"/>
          </w:tcPr>
          <w:p>
            <w:r>
              <w:rPr>
                <w:rFonts w:ascii="Calibri" w:hAnsi="Calibri"/>
                <w:sz w:val="22"/>
              </w:rPr>
              <w:t>July 2, 2026</w:t>
            </w:r>
          </w:p>
        </w:tc>
        <w:tc>
          <w:tcPr>
            <w:tcW w:type="dxa" w:w="1234"/>
          </w:tcPr>
          <w:p>
            <w:r>
              <w:rPr>
                <w:rFonts w:ascii="Calibri" w:hAnsi="Calibri"/>
                <w:sz w:val="22"/>
              </w:rPr>
              <w:t>10b5-1 plan; option exercise (M code) + same-day sale (S code); routine compensation-driven.</w:t>
            </w:r>
          </w:p>
        </w:tc>
      </w:tr>
      <w:tr>
        <w:tc>
          <w:tcPr>
            <w:tcW w:type="dxa" w:w="1234"/>
          </w:tcPr>
          <w:p>
            <w:r>
              <w:rPr>
                <w:rFonts w:ascii="Calibri" w:hAnsi="Calibri"/>
                <w:sz w:val="22"/>
              </w:rPr>
              <w:t>Julie B. Rottenberg</w:t>
            </w:r>
          </w:p>
        </w:tc>
        <w:tc>
          <w:tcPr>
            <w:tcW w:type="dxa" w:w="1234"/>
          </w:tcPr>
          <w:p>
            <w:r>
              <w:rPr>
                <w:rFonts w:ascii="Calibri" w:hAnsi="Calibri"/>
                <w:sz w:val="22"/>
              </w:rPr>
              <w:t>General Counsel</w:t>
            </w:r>
          </w:p>
        </w:tc>
        <w:tc>
          <w:tcPr>
            <w:tcW w:type="dxa" w:w="1234"/>
          </w:tcPr>
          <w:p>
            <w:r>
              <w:rPr>
                <w:rFonts w:ascii="Calibri" w:hAnsi="Calibri"/>
                <w:sz w:val="22"/>
              </w:rPr>
              <w:t>10b5-1 Planned Sale (option exercise + same-day sale)</w:t>
            </w:r>
          </w:p>
        </w:tc>
        <w:tc>
          <w:tcPr>
            <w:tcW w:type="dxa" w:w="1234"/>
          </w:tcPr>
          <w:p>
            <w:r>
              <w:rPr>
                <w:rFonts w:ascii="Calibri" w:hAnsi="Calibri"/>
                <w:sz w:val="22"/>
              </w:rPr>
              <w:t>2,027 shares sold</w:t>
            </w:r>
          </w:p>
        </w:tc>
        <w:tc>
          <w:tcPr>
            <w:tcW w:type="dxa" w:w="1234"/>
          </w:tcPr>
          <w:p>
            <w:r>
              <w:rPr>
                <w:rFonts w:ascii="Calibri" w:hAnsi="Calibri"/>
                <w:sz w:val="22"/>
              </w:rPr>
              <w:t>July 2, 2026</w:t>
            </w:r>
          </w:p>
        </w:tc>
        <w:tc>
          <w:tcPr>
            <w:tcW w:type="dxa" w:w="1234"/>
          </w:tcPr>
          <w:p>
            <w:r>
              <w:rPr>
                <w:rFonts w:ascii="Calibri" w:hAnsi="Calibri"/>
                <w:sz w:val="22"/>
              </w:rPr>
              <w:t>July 6, 2026</w:t>
            </w:r>
          </w:p>
        </w:tc>
        <w:tc>
          <w:tcPr>
            <w:tcW w:type="dxa" w:w="1234"/>
          </w:tcPr>
          <w:p>
            <w:r>
              <w:rPr>
                <w:rFonts w:ascii="Calibri" w:hAnsi="Calibri"/>
                <w:sz w:val="22"/>
              </w:rPr>
              <w:t>10b5-1 plan; option exercise (M code) + same-day sale (S code); routine compensation-driven.</w:t>
            </w:r>
          </w:p>
        </w:tc>
      </w:tr>
    </w:tbl>
    <w:p>
      <w:r>
        <w:rPr>
          <w:rFonts w:ascii="Calibri" w:hAnsi="Calibri"/>
          <w:b/>
          <w:color w:val="525866"/>
          <w:sz w:val="22"/>
        </w:rPr>
        <w:t xml:space="preserve">Assessment: </w:t>
      </w:r>
      <w:r>
        <w:rPr>
          <w:rFonts w:ascii="Calibri" w:hAnsi="Calibri"/>
          <w:color w:val="525866"/>
          <w:sz w:val="22"/>
        </w:rPr>
        <w:t>The insider transaction pattern is entirely consistent with pre-scheduled compensation plans. The CEO has executed three separate 10b5-1 option exercise/sale tranches since the Q2 earnings date (April 29, June 29, July 1), all under the same plan. The CFO's May 12 sale is the only transaction not explicitly flagged as 10b5-1, but the size and timing (two weeks post-Q2 earnings, during an open trading window) are consistent with normal compensation-related selling rather than a discretionary bearish signal. There are no open-market buys and no unusual clustering or size that would suggest insider conviction in either direction.</w:t>
      </w:r>
    </w:p>
    <w:p>
      <w:r>
        <w:rPr>
          <w:rFonts w:ascii="Calibri" w:hAnsi="Calibri"/>
          <w:b/>
          <w:color w:val="525866"/>
          <w:sz w:val="22"/>
        </w:rPr>
        <w:t xml:space="preserve">Note on dates: </w:t>
      </w:r>
      <w:r>
        <w:rPr>
          <w:rFonts w:ascii="Calibri" w:hAnsi="Calibri"/>
          <w:color w:val="525866"/>
          <w:sz w:val="22"/>
        </w:rPr>
        <w:t>Transaction dates reflect the effective date of the trade (when the transaction was executed). Disclosure dates reflect when the Form 4 was filed with the SEC (typically 1–2 business days after the transaction date). All transactions sourced from SEC Form 4 filings.</w:t>
      </w:r>
    </w:p>
    <w:p>
      <w:r>
        <w:rPr>
          <w:rFonts w:ascii="Calibri" w:hAnsi="Calibri"/>
          <w:b/>
          <w:color w:val="525866"/>
          <w:sz w:val="22"/>
        </w:rPr>
        <w:t xml:space="preserve">Source: </w:t>
      </w:r>
      <w:r>
        <w:rPr>
          <w:rFonts w:ascii="Calibri" w:hAnsi="Calibri"/>
          <w:color w:val="525866"/>
          <w:sz w:val="22"/>
        </w:rPr>
        <w:t>SEC Form 4 filings (Insider Transaction Data, SEC EDGAR).</w:t>
      </w:r>
    </w:p>
    <w:p>
      <w:r>
        <w:br w:type="page"/>
      </w:r>
    </w:p>
    <w:p>
      <w:pPr>
        <w:pStyle w:val="Heading2"/>
      </w:pPr>
      <w:r>
        <w:rPr>
          <w:rFonts w:ascii="Calibri" w:hAnsi="Calibri"/>
          <w:b/>
          <w:color w:val="3B4259"/>
          <w:sz w:val="28"/>
        </w:rPr>
        <w:t>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(Net Revenue, Adj. EPS, Payments Volume, Cross-Border Volume, Processed Transactions, Client Incentives). VA fiscal period 3QFY-2026 = quarter ended June 30, 2026; 4QFY-2026 = quarter ended September 30, 2026; FY-2026 = fiscal year ended September 30, 2026.</w:t>
      </w:r>
    </w:p>
    <w:p>
      <w:pPr>
        <w:pStyle w:val="ListBullet"/>
        <w:ind w:left="360" w:hanging="360"/>
      </w:pPr>
      <w:r>
        <w:rPr>
          <w:rFonts w:ascii="Calibri" w:hAnsi="Calibri"/>
          <w:b/>
          <w:color w:val="525866"/>
          <w:sz w:val="22"/>
        </w:rPr>
        <w:t>Visa Q2 2026 Earnings Call Transcript</w:t>
      </w:r>
      <w:r>
        <w:rPr>
          <w:rFonts w:ascii="Calibri" w:hAnsi="Calibri"/>
          <w:color w:val="525866"/>
          <w:sz w:val="22"/>
        </w:rPr>
        <w:t xml:space="preserve"> — April 28, 2026. Source of Q3 and FY26 guidance, intra-quarter volume data through April 21, Q2 results, and strategic commentary.</w:t>
      </w:r>
    </w:p>
    <w:p>
      <w:pPr>
        <w:pStyle w:val="ListBullet"/>
        <w:ind w:left="360" w:hanging="360"/>
      </w:pPr>
      <w:r>
        <w:rPr>
          <w:rFonts w:ascii="Calibri" w:hAnsi="Calibri"/>
          <w:b/>
          <w:color w:val="525866"/>
          <w:sz w:val="22"/>
        </w:rPr>
        <w:t>Visa Q2 2026 Earnings Release (8-K EX-99.1)</w:t>
      </w:r>
      <w:r>
        <w:rPr>
          <w:rFonts w:ascii="Calibri" w:hAnsi="Calibri"/>
          <w:color w:val="525866"/>
          <w:sz w:val="22"/>
        </w:rPr>
        <w:t xml:space="preserve"> — April 28, 2026. Source of reported Q2 2026 financial results.</w:t>
      </w:r>
    </w:p>
    <w:p>
      <w:pPr>
        <w:pStyle w:val="ListBullet"/>
        <w:ind w:left="360" w:hanging="360"/>
      </w:pPr>
      <w:r>
        <w:rPr>
          <w:rFonts w:ascii="Calibri" w:hAnsi="Calibri"/>
          <w:b/>
          <w:color w:val="525866"/>
          <w:sz w:val="22"/>
        </w:rPr>
        <w:t>JP Morgan Global Technology, Media and Communications Conference Transcript</w:t>
      </w:r>
      <w:r>
        <w:rPr>
          <w:rFonts w:ascii="Calibri" w:hAnsi="Calibri"/>
          <w:color w:val="525866"/>
          <w:sz w:val="22"/>
        </w:rPr>
        <w:t xml:space="preserve"> — May 19, 2026. CFO Christopher Suh. Source of intra-quarter update through May 14, 2026 and FY26 guidance reaffirmation.</w:t>
      </w:r>
    </w:p>
    <w:p>
      <w:pPr>
        <w:pStyle w:val="ListBullet"/>
        <w:ind w:left="360" w:hanging="360"/>
      </w:pPr>
      <w:r>
        <w:rPr>
          <w:rFonts w:ascii="Calibri" w:hAnsi="Calibri"/>
          <w:b/>
          <w:color w:val="525866"/>
          <w:sz w:val="22"/>
        </w:rPr>
        <w:t>Bernstein Strategic Decisions Conference Transcript</w:t>
      </w:r>
      <w:r>
        <w:rPr>
          <w:rFonts w:ascii="Calibri" w:hAnsi="Calibri"/>
          <w:color w:val="525866"/>
          <w:sz w:val="22"/>
        </w:rPr>
        <w:t xml:space="preserve"> — May 28, 2026. CEO Ryan McInerney. Source of intra-quarter update through May 28, 2026, Europe investment announcement, and strategic commentary.</w:t>
      </w:r>
    </w:p>
    <w:p>
      <w:pPr>
        <w:pStyle w:val="ListBullet"/>
        <w:ind w:left="360" w:hanging="360"/>
      </w:pPr>
      <w:r>
        <w:rPr>
          <w:rFonts w:ascii="Calibri" w:hAnsi="Calibri"/>
          <w:b/>
          <w:color w:val="525866"/>
          <w:sz w:val="22"/>
        </w:rPr>
        <w:t>Baird Global Consumer, Tech &amp; Services Conference Transcript</w:t>
      </w:r>
      <w:r>
        <w:rPr>
          <w:rFonts w:ascii="Calibri" w:hAnsi="Calibri"/>
          <w:color w:val="525866"/>
          <w:sz w:val="22"/>
        </w:rPr>
        <w:t xml:space="preserve"> — June 3, 2026. CMS President Christopher Newkirk. Source of B2B, Visa Direct, and agentic commerce commentary.</w:t>
      </w:r>
    </w:p>
    <w:p>
      <w:pPr>
        <w:pStyle w:val="ListBullet"/>
        <w:ind w:left="360" w:hanging="360"/>
      </w:pPr>
      <w:r>
        <w:rPr>
          <w:rFonts w:ascii="Calibri" w:hAnsi="Calibri"/>
          <w:b/>
          <w:color w:val="525866"/>
          <w:sz w:val="22"/>
        </w:rPr>
        <w:t>Visa 8-K — Litigation Escrow Deposit</w:t>
      </w:r>
      <w:r>
        <w:rPr>
          <w:rFonts w:ascii="Calibri" w:hAnsi="Calibri"/>
          <w:color w:val="525866"/>
          <w:sz w:val="22"/>
        </w:rPr>
        <w:t xml:space="preserve"> — Filed June 26, 2026 (transaction effective June 24–25, 2026). Source of $250M escrow deposit and Class B conversion rate adjustments.</w:t>
      </w:r>
    </w:p>
    <w:p>
      <w:pPr>
        <w:pStyle w:val="ListBullet"/>
        <w:ind w:left="360" w:hanging="360"/>
      </w:pPr>
      <w:r>
        <w:rPr>
          <w:rFonts w:ascii="Calibri" w:hAnsi="Calibri"/>
          <w:b/>
          <w:color w:val="525866"/>
          <w:sz w:val="22"/>
        </w:rPr>
        <w:t>Visa 8-K — Makewhole Agreement</w:t>
      </w:r>
      <w:r>
        <w:rPr>
          <w:rFonts w:ascii="Calibri" w:hAnsi="Calibri"/>
          <w:color w:val="525866"/>
          <w:sz w:val="22"/>
        </w:rPr>
        <w:t xml:space="preserve"> — Filed May 12, 2026. Source of MDL settlement progress.</w:t>
      </w:r>
    </w:p>
    <w:p>
      <w:pPr>
        <w:pStyle w:val="ListBullet"/>
        <w:ind w:left="360" w:hanging="360"/>
      </w:pPr>
      <w:r>
        <w:rPr>
          <w:rFonts w:ascii="Calibri" w:hAnsi="Calibri"/>
          <w:b/>
          <w:color w:val="525866"/>
          <w:sz w:val="22"/>
        </w:rPr>
        <w:t>Visa 8-K — Bylaw Amendment</w:t>
      </w:r>
      <w:r>
        <w:rPr>
          <w:rFonts w:ascii="Calibri" w:hAnsi="Calibri"/>
          <w:color w:val="525866"/>
          <w:sz w:val="22"/>
        </w:rPr>
        <w:t xml:space="preserve"> — Filed July 15, 2026.</w:t>
      </w:r>
    </w:p>
    <w:p>
      <w:pPr>
        <w:pStyle w:val="ListBullet"/>
        <w:ind w:left="360" w:hanging="360"/>
      </w:pPr>
      <w:r>
        <w:rPr>
          <w:rFonts w:ascii="Calibri" w:hAnsi="Calibri"/>
          <w:b/>
          <w:color w:val="525866"/>
          <w:sz w:val="22"/>
        </w:rPr>
        <w:t>AXP Q2 2026 Earnings Call Transcript</w:t>
      </w:r>
      <w:r>
        <w:rPr>
          <w:rFonts w:ascii="Calibri" w:hAnsi="Calibri"/>
          <w:color w:val="525866"/>
          <w:sz w:val="22"/>
        </w:rPr>
        <w:t xml:space="preserve"> — July 24, 2026. Peer read-through: consumer spending, travel, credit quality.</w:t>
      </w:r>
    </w:p>
    <w:p>
      <w:pPr>
        <w:pStyle w:val="ListBullet"/>
        <w:ind w:left="360" w:hanging="360"/>
      </w:pPr>
      <w:r>
        <w:rPr>
          <w:rFonts w:ascii="Calibri" w:hAnsi="Calibri"/>
          <w:b/>
          <w:color w:val="525866"/>
          <w:sz w:val="22"/>
        </w:rPr>
        <w:t>COF Q2 2026 Earnings Call Transcript</w:t>
      </w:r>
      <w:r>
        <w:rPr>
          <w:rFonts w:ascii="Calibri" w:hAnsi="Calibri"/>
          <w:color w:val="525866"/>
          <w:sz w:val="22"/>
        </w:rPr>
        <w:t xml:space="preserve"> — July 21, 2026. Peer read-through: consumer health, purchase volumes, Discover debit migration.</w:t>
      </w:r>
    </w:p>
    <w:p>
      <w:pPr>
        <w:pStyle w:val="ListBullet"/>
        <w:ind w:left="360" w:hanging="360"/>
      </w:pPr>
      <w:r>
        <w:rPr>
          <w:rFonts w:ascii="Calibri" w:hAnsi="Calibri"/>
          <w:b/>
          <w:color w:val="525866"/>
          <w:sz w:val="22"/>
        </w:rPr>
        <w:t>GPN Mizuho Technology Conference Transcript</w:t>
      </w:r>
      <w:r>
        <w:rPr>
          <w:rFonts w:ascii="Calibri" w:hAnsi="Calibri"/>
          <w:color w:val="525866"/>
          <w:sz w:val="22"/>
        </w:rPr>
        <w:t xml:space="preserve"> — June 10, 2026. Peer read-through: Middle East travel headwind, e-commerce volumes.</w:t>
      </w:r>
    </w:p>
    <w:p>
      <w:pPr>
        <w:pStyle w:val="ListBullet"/>
        <w:ind w:left="360" w:hanging="360"/>
      </w:pPr>
      <w:r>
        <w:rPr>
          <w:rFonts w:ascii="Calibri" w:hAnsi="Calibri"/>
          <w:b/>
          <w:color w:val="525866"/>
          <w:sz w:val="22"/>
        </w:rPr>
        <w:t>MA RBC Capital Markets Financial Technology Conference Transcript</w:t>
      </w:r>
      <w:r>
        <w:rPr>
          <w:rFonts w:ascii="Calibri" w:hAnsi="Calibri"/>
          <w:color w:val="525866"/>
          <w:sz w:val="22"/>
        </w:rPr>
        <w:t xml:space="preserve"> — June 9, 2026. Peer read-through: secular digitization, agentic commerce, stablecoins.</w:t>
      </w:r>
    </w:p>
    <w:p>
      <w:pPr>
        <w:pStyle w:val="ListBullet"/>
        <w:ind w:left="360" w:hanging="360"/>
      </w:pPr>
      <w:r>
        <w:rPr>
          <w:rFonts w:ascii="Calibri" w:hAnsi="Calibri"/>
          <w:b/>
          <w:color w:val="525866"/>
          <w:sz w:val="22"/>
        </w:rPr>
        <w:t>FI Baird Global Consumer Conference Transcript</w:t>
      </w:r>
      <w:r>
        <w:rPr>
          <w:rFonts w:ascii="Calibri" w:hAnsi="Calibri"/>
          <w:color w:val="525866"/>
          <w:sz w:val="22"/>
        </w:rPr>
        <w:t xml:space="preserve"> — June 2, 2026. Peer read-through: merchant volumes, Clover growth.</w:t>
      </w:r>
    </w:p>
    <w:p>
      <w:pPr>
        <w:pStyle w:val="ListBullet"/>
        <w:ind w:left="360" w:hanging="360"/>
      </w:pPr>
      <w:r>
        <w:rPr>
          <w:rFonts w:ascii="Calibri" w:hAnsi="Calibri"/>
          <w:b/>
          <w:color w:val="525866"/>
          <w:sz w:val="22"/>
        </w:rPr>
        <w:t>PYPL Evercore TMT Global Conference Transcript</w:t>
      </w:r>
      <w:r>
        <w:rPr>
          <w:rFonts w:ascii="Calibri" w:hAnsi="Calibri"/>
          <w:color w:val="525866"/>
          <w:sz w:val="22"/>
        </w:rPr>
        <w:t xml:space="preserve"> — June 3, 2026. Peer read-through: authorization rates, cross-border expansion, agentic commerce.</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Daily closing prices for V, IAI, and SPY from April 28, 2026 through July 28, 2026.</w:t>
      </w:r>
    </w:p>
    <w:p>
      <w:pPr>
        <w:pStyle w:val="ListBullet"/>
        <w:ind w:left="360" w:hanging="360"/>
      </w:pPr>
      <w:r>
        <w:rPr>
          <w:rFonts w:ascii="Calibri" w:hAnsi="Calibri"/>
          <w:b/>
          <w:color w:val="525866"/>
          <w:sz w:val="22"/>
        </w:rPr>
        <w:t>SEC Form 4 Filings (SEC EDGAR)</w:t>
      </w:r>
      <w:r>
        <w:rPr>
          <w:rFonts w:ascii="Calibri" w:hAnsi="Calibri"/>
          <w:color w:val="525866"/>
          <w:sz w:val="22"/>
        </w:rPr>
        <w:t xml:space="preserve"> — Insider transaction data for V, April 28 – July 28, 2026.</w:t>
      </w:r>
    </w:p>
    <w:p>
      <w:pPr>
        <w:pStyle w:val="ListBullet"/>
        <w:ind w:left="360" w:hanging="360"/>
      </w:pPr>
      <w:r>
        <w:rPr>
          <w:rFonts w:ascii="Calibri" w:hAnsi="Calibri"/>
          <w:b/>
          <w:color w:val="525866"/>
          <w:sz w:val="22"/>
        </w:rPr>
        <w:t>Implied Platform — Stock Performance Decomposition</w:t>
      </w:r>
      <w:r>
        <w:rPr>
          <w:rFonts w:ascii="Calibri" w:hAnsi="Calibri"/>
          <w:color w:val="525866"/>
          <w:sz w:val="22"/>
        </w:rPr>
        <w:t xml:space="preserve"> — NTM multiple data (EV/EBITDA, P/E) for valuation attribution analysis.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