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vici-earnings-predictions--2026-07-29"/>
    <w:p>
      <w:pPr>
        <w:pStyle w:val="Heading1"/>
      </w:pPr>
      <w:r>
        <w:t xml:space="preserve">VICI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VICI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AFFO / share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~$0.62 vs. cons $0.62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VICI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~$1.05B vs. cons $1.05B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VICI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AFFO ($M)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~$672M vs. cons $670M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VICI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AFFO / share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2.45</m:t>
              </m:r>
              <m:r>
                <m:rPr>
                  <m:sty m:val="p"/>
                </m:rPr>
                <m:t>−</m:t>
              </m:r>
            </m:oMath>
            <w:r>
              <w:t xml:space="preserve">2.48 (mid $2.465) vs. cons $2.46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VICI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AFFO ($M)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</m:t>
              </m:r>
              <m:r>
                <m:rPr>
                  <m:sty m:val="p"/>
                </m:rPr>
                <m:t>,</m:t>
              </m:r>
              <m:r>
                <m:t>675</m:t>
              </m:r>
              <m:r>
                <m:rPr>
                  <m:sty m:val="p"/>
                </m:rPr>
                <m:t>−</m:t>
              </m:r>
            </m:oMath>
            <w:r>
              <w:t xml:space="preserve">2,705M (mid $2,690M) vs. cons $2,685M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VICI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Caesars rent coverage / tenant-credit commentary (Fertitta take-private)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pred coverage ~1.9x vs. prior ~1.9x (Q2 master leases)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VICI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2026 refi hedge coverage / expected refi rate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pred ~$500M+ swaps hedged vs. $1.75B notes maturing at ~4.4% avg (2026 maturities)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VICI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Net debt / EBITDA leverage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pred ~5.0x vs. target 5.0-5.5x (Q2 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VICI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+0.5%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VICI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-0.5% (STABILIZE)</w:t>
            </w:r>
          </w:p>
        </w:tc>
        <w:tc>
          <w:tcPr/>
          <w:p>
            <w:pPr>
              <w:pStyle w:val="Compact"/>
            </w:pPr>
            <w:r>
              <w:t xml:space="preserve">Triple-net rent makes AFFO print essentially in-line with the raised guide, and any FY bump is marginal (Golden already embedded, Gamehost small), so there are no material estimate revisions in either direction. With no out-period math to drive follow-through, the idiosyncratic component drifts near zero; the dominant swing factors — the live 7/29 Fed decision and Caesars/Fertitta credit sentiment — are macro/beta rather than stock-specific, so residual return stabilizes around flat with a slight fade bias if commentary on Las Vegas coverage is cautious.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2026-07-29T02:13:49Z</dcterms:created>
  <dcterms:modified xsi:type="dcterms:W3CDTF">2026-07-29T02:13:49Z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