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VICI Properties before writing the preview. Let me gather recent filings, transcripts, and news.Let me read the most recent earnings materials and check recent news/stock performance.Let me check recent news and stock performance leading into the report.I have what I need. Let me write the preview.</w:t>
      </w:r>
    </w:p>
    <w:bookmarkStart w:id="21" w:name="Xb3efb2cfa33eb14ae19856ece4327d268fcf9ff"/>
    <w:p>
      <w:pPr>
        <w:pStyle w:val="Heading1"/>
      </w:pPr>
      <w:r>
        <w:t xml:space="preserve">VICI Properties (VICI) — Q2 2026 Earnings Preview</w:t>
      </w:r>
    </w:p>
    <w:bookmarkStart w:id="9" w:name="X6329f9d0859c31ab54126af20cce5b70954a16f"/>
    <w:p>
      <w:pPr>
        <w:pStyle w:val="Heading3"/>
      </w:pPr>
      <w:r>
        <w:t xml:space="preserve">Report expected after close Tuesday 7/28; earnings call Wednesday, July 29, 2026 (10:00 a.m. ET)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VICI heads into Q2 as the steady compounder it's designed to be — but two things loom larger than usual this quarter: (1) the credit story around its single largest tenant,</w:t>
      </w:r>
      <w:r>
        <w:t xml:space="preserve"> </w:t>
      </w:r>
      <w:r>
        <w:rPr>
          <w:b/>
          <w:bCs/>
        </w:rPr>
        <w:t xml:space="preserve">Caesars</w:t>
      </w:r>
      <w:r>
        <w:t xml:space="preserve">, which just agreed to be taken private by</w:t>
      </w:r>
      <w:r>
        <w:t xml:space="preserve"> </w:t>
      </w:r>
      <w:r>
        <w:rPr>
          <w:b/>
          <w:bCs/>
        </w:rPr>
        <w:t xml:space="preserve">Fertitta Entertainment</w:t>
      </w:r>
      <w:r>
        <w:t xml:space="preserve"> </w:t>
      </w:r>
      <w:r>
        <w:t xml:space="preserve">and posted a soft Q2; and (2) rate/refinancing risk into a "live" Fed meeting the very next day. Everything else — a raised guide, a full pipeline, closed M&amp;A — is playing out on script.</w:t>
      </w:r>
    </w:p>
    <w:p>
      <w:r>
        <w:pict>
          <v:rect style="width:0;height:1.5pt" o:hralign="center" o:hrstd="t" o:hr="t"/>
        </w:pict>
      </w:r>
    </w:p>
    <w:bookmarkEnd w:id="10"/>
    <w:bookmarkStart w:id="11" w:name="Xc3b75c0ca803ead9d785eed9a08be383e4caa77"/>
    <w:p>
      <w:pPr>
        <w:pStyle w:val="Heading2"/>
      </w:pPr>
      <w:r>
        <w:t xml:space="preserve">1. What just happened (Q1 2026 recap, reported April 29)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AFFO/share of $0.61, +4.5% YoY</w:t>
      </w:r>
      <w:r>
        <w:t xml:space="preserve">; AFFO dollars $650.9M (+5.7%). Revenue $1.02B (+3.5%).</w:t>
      </w:r>
    </w:p>
    <w:p>
      <w:pPr>
        <w:pStyle w:val="Compact"/>
        <w:numPr>
          <w:ilvl w:val="0"/>
          <w:numId w:val="1001"/>
        </w:numPr>
      </w:pPr>
      <w:r>
        <w:t xml:space="preserve">Net income optics are noisy: **</w:t>
      </w:r>
      <m:oMath>
        <m:r>
          <m:t>0.82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59</m:t>
        </m:r>
      </m:oMath>
      <w:r>
        <w:t xml:space="preserve">306M favorable change vs. the prior year), not operations. Watch AFFO, not GAAP net income.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Guidance raised</w:t>
      </w:r>
      <w:r>
        <w:t xml:space="preserve"> </w:t>
      </w:r>
      <w:r>
        <w:t xml:space="preserve">to</w:t>
      </w:r>
      <w:r>
        <w:t xml:space="preserve"> </w:t>
      </w:r>
      <m:oMath>
        <m:r>
          <m:t>2.44</m:t>
        </m:r>
        <m:r>
          <m:rPr>
            <m:sty m:val="p"/>
          </m:rPr>
          <m:t>–</m:t>
        </m:r>
      </m:oMath>
      <w:r>
        <w:rPr>
          <w:b/>
          <w:bCs/>
        </w:rPr>
        <w:t xml:space="preserve">2.47 AFFO/share</w:t>
      </w:r>
      <w:r>
        <w:t xml:space="preserve"> </w:t>
      </w:r>
      <w:r>
        <w:t xml:space="preserve">(</w:t>
      </w:r>
      <m:oMath>
        <m:r>
          <m:t>2</m:t>
        </m:r>
        <m:r>
          <m:rPr>
            <m:sty m:val="p"/>
          </m:rPr>
          <m:t>,</m:t>
        </m:r>
        <m:r>
          <m:t>665</m:t>
        </m:r>
        <m:r>
          <m:rPr>
            <m:sty m:val="p"/>
          </m:rPr>
          <m:t>–</m:t>
        </m:r>
      </m:oMath>
      <w:r>
        <w:t xml:space="preserve">2,695M) from</w:t>
      </w:r>
      <w:r>
        <w:t xml:space="preserve"> </w:t>
      </w:r>
      <m:oMath>
        <m:r>
          <m:t>2.42</m:t>
        </m:r>
        <m:r>
          <m:rPr>
            <m:sty m:val="p"/>
          </m:rPr>
          <m:t>–</m:t>
        </m:r>
      </m:oMath>
      <w:r>
        <w:t xml:space="preserve">2.45 — the raise reflects the now-closed</w:t>
      </w:r>
      <w:r>
        <w:t xml:space="preserve"> </w:t>
      </w:r>
      <w:r>
        <w:rPr>
          <w:b/>
          <w:bCs/>
        </w:rPr>
        <w:t xml:space="preserve">Golden Entertainment</w:t>
      </w:r>
      <w:r>
        <w:t xml:space="preserve"> </w:t>
      </w:r>
      <w:r>
        <w:t xml:space="preserve">deal (share count guide stepped up to ~1,090.7M from ~1,069.9M for the ~24.3M shares issued).</w:t>
      </w:r>
    </w:p>
    <w:p>
      <w:pPr>
        <w:pStyle w:val="Compact"/>
        <w:numPr>
          <w:ilvl w:val="0"/>
          <w:numId w:val="1001"/>
        </w:numPr>
      </w:pPr>
      <w:r>
        <w:t xml:space="preserve">Balance sheet: net debt ~5.0x EBITDA (</w:t>
      </w:r>
      <w:r>
        <w:rPr>
          <w:b/>
          <w:bCs/>
        </w:rPr>
        <w:t xml:space="preserve">low end</w:t>
      </w:r>
      <w:r>
        <w:t xml:space="preserve"> </w:t>
      </w:r>
      <w:r>
        <w:t xml:space="preserve">of the 5.0–5.5x target), 4.46% weighted avg rate, 5.7-yr weighted maturity, ~$3.1B liquidity.</w:t>
      </w:r>
    </w:p>
    <w:p>
      <w:pPr>
        <w:pStyle w:val="Compact"/>
        <w:numPr>
          <w:ilvl w:val="0"/>
          <w:numId w:val="1001"/>
        </w:numPr>
      </w:pPr>
      <w:r>
        <w:t xml:space="preserve">Dividend $0.45/quarter, ~75% AFFO payout,</w:t>
      </w:r>
      <w:r>
        <w:t xml:space="preserve"> </w:t>
      </w:r>
      <w:r>
        <w:rPr>
          <w:b/>
          <w:bCs/>
        </w:rPr>
        <w:t xml:space="preserve">8-year dividend CAGR of ~7%</w:t>
      </w:r>
      <w:r>
        <w:t xml:space="preserve"> </w:t>
      </w:r>
      <w:r>
        <w:t xml:space="preserve">(raised every year since the 2018 IPO).</w:t>
      </w:r>
    </w:p>
    <w:bookmarkEnd w:id="11"/>
    <w:bookmarkStart w:id="17" w:name="X439fddb2282ba2d2832f696404c8390ff46a00a"/>
    <w:p>
      <w:pPr>
        <w:pStyle w:val="Heading2"/>
      </w:pPr>
      <w:r>
        <w:t xml:space="preserve">2. What to watch in Q2</w:t>
      </w:r>
    </w:p>
    <w:bookmarkStart w:id="12" w:name="a-caesars--the-biggest-swing-factor"/>
    <w:p>
      <w:pPr>
        <w:pStyle w:val="Heading3"/>
      </w:pPr>
      <w:r>
        <w:t xml:space="preserve">A. Caesars — the biggest swing factor</w:t>
      </w:r>
    </w:p>
    <w:p>
      <w:pPr>
        <w:pStyle w:val="FirstParagraph"/>
      </w:pPr>
      <w:r>
        <w:t xml:space="preserve">Caesars is VICI's largest tenant (~$267M/quarter of rent across the Las Vegas + Regional master leases, roughly a quarter of contractual rent). Two developments matter: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Take-private by Fertitta Entertainment</w:t>
      </w:r>
      <w:r>
        <w:t xml:space="preserve"> </w:t>
      </w:r>
      <w:r>
        <w:t xml:space="preserve">(agreement announced May 28, 2026). On the Q1 call in April, management would only say the reports were "rumors" it wouldn't comment on. Now that it's a signed deal, expect pointed questions on: the new guarantor/credit profile, any lease consents or protections, and whether it changes VICI's put/call or growth optionality with Caesars.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Weak Caesars Q2 (reported 7/28):</w:t>
      </w:r>
      <w:r>
        <w:t xml:space="preserve"> </w:t>
      </w:r>
      <w:r>
        <w:t xml:space="preserve">adjusted EBITDA ~</w:t>
      </w:r>
      <m:oMath>
        <m:r>
          <m:t>920</m:t>
        </m:r>
        <m:r>
          <m:t>M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960M Street, a loss of $0.30/share, with Vegas and Digital weakness offsetting regional growth. VICI's rent is fixed and triple-net, so near-term cash flow is insulated — but investors will probe</w:t>
      </w:r>
      <w:r>
        <w:t xml:space="preserve"> </w:t>
      </w:r>
      <w:r>
        <w:rPr>
          <w:b/>
          <w:bCs/>
        </w:rPr>
        <w:t xml:space="preserve">rent coverage</w:t>
      </w:r>
      <w:r>
        <w:t xml:space="preserve"> </w:t>
      </w:r>
      <w:r>
        <w:t xml:space="preserve">trends and the durability of the Las Vegas Strip recovery. Management has been emphasizing that Caesars' regional CapEx (e.g., New Orleans, Lake Tahoe) and its player-database strategy are paying off.</w:t>
      </w:r>
    </w:p>
    <w:bookmarkEnd w:id="12"/>
    <w:bookmarkStart w:id="13" w:name="b-will-they-raise-guidance-again"/>
    <w:p>
      <w:pPr>
        <w:pStyle w:val="Heading3"/>
      </w:pPr>
      <w:r>
        <w:t xml:space="preserve">B. Will they raise guidance again?</w:t>
      </w:r>
    </w:p>
    <w:p>
      <w:pPr>
        <w:pStyle w:val="FirstParagraph"/>
      </w:pPr>
      <w:r>
        <w:t xml:space="preserve">VICI has raised the FY guide each of the last two quarters. Since Q1, they've</w:t>
      </w:r>
      <w:r>
        <w:t xml:space="preserve"> </w:t>
      </w:r>
      <w:r>
        <w:rPr>
          <w:b/>
          <w:bCs/>
        </w:rPr>
        <w:t xml:space="preserve">closed Golden Entertainment</w:t>
      </w:r>
      <w:r>
        <w:t xml:space="preserve"> </w:t>
      </w:r>
      <w:r>
        <w:t xml:space="preserve">(~$1.16B, 7.5% cap rate,</w:t>
      </w:r>
      <w:r>
        <w:t xml:space="preserve"> </w:t>
      </w:r>
      <m:oMath>
        <m:r>
          <m:t>87</m:t>
        </m:r>
        <m:r>
          <m:t>M</m:t>
        </m:r>
        <m:r>
          <m:t>i</m:t>
        </m:r>
        <m:r>
          <m:t>n</m:t>
        </m:r>
        <m:r>
          <m:t>i</m:t>
        </m:r>
        <m:r>
          <m:t>t</m:t>
        </m:r>
        <m:r>
          <m:t>i</m:t>
        </m:r>
        <m:r>
          <m:t>a</m:t>
        </m:r>
        <m:r>
          <m:t>l</m:t>
        </m:r>
        <m:r>
          <m:t>r</m:t>
        </m:r>
        <m:r>
          <m:t>e</m:t>
        </m:r>
        <m:r>
          <m:t>n</m:t>
        </m:r>
        <m:r>
          <m:t>t</m:t>
        </m:r>
        <m:r>
          <m:rPr>
            <m:sty m:val="p"/>
          </m:rPr>
          <m:t>,</m:t>
        </m:r>
        <m:r>
          <m:t>30</m:t>
        </m:r>
        <m:r>
          <m:rPr>
            <m:sty m:val="p"/>
          </m:rPr>
          <m:t>−</m:t>
        </m:r>
        <m:r>
          <m:t>y</m:t>
        </m:r>
        <m:r>
          <m:t>r</m:t>
        </m:r>
        <m:r>
          <m:t>l</m:t>
        </m:r>
        <m:r>
          <m:t>e</m:t>
        </m:r>
        <m:r>
          <m:t>a</m:t>
        </m:r>
        <m:r>
          <m:t>s</m:t>
        </m:r>
        <m:r>
          <m:t>e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a</m:t>
        </m:r>
        <m:r>
          <m:t>r</m:t>
        </m:r>
        <m:r>
          <m:t>e</m:t>
        </m:r>
        <m:r>
          <m:t>c</m:t>
        </m:r>
        <m:r>
          <m:t>l</m:t>
        </m:r>
        <m:r>
          <m:t>o</m:t>
        </m:r>
        <m:r>
          <m:t>s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G</m:t>
        </m:r>
        <m:r>
          <m:t>a</m:t>
        </m:r>
        <m:r>
          <m:t>m</m:t>
        </m:r>
        <m:r>
          <m:t>e</m:t>
        </m:r>
        <m:r>
          <m:t>h</m:t>
        </m:r>
        <m:r>
          <m:t>o</m:t>
        </m:r>
        <m:r>
          <m:t>s</m:t>
        </m:r>
        <m:r>
          <m:t>t</m:t>
        </m:r>
        <m:r>
          <m:rPr>
            <m:sty m:val="p"/>
          </m:rPr>
          <m:t>/</m:t>
        </m:r>
        <m:r>
          <m:t>P</m:t>
        </m:r>
        <m:r>
          <m:t>U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a</m:t>
        </m:r>
        <m:r>
          <m:t>n</m:t>
        </m:r>
        <m:r>
          <m:t>a</m:t>
        </m:r>
        <m:r>
          <m:t>d</m:t>
        </m:r>
        <m:r>
          <m:t>i</m:t>
        </m:r>
        <m:r>
          <m:t>a</m:t>
        </m:r>
        <m:r>
          <m:t>n</m:t>
        </m:r>
        <m:r>
          <m:t>p</m:t>
        </m:r>
        <m:r>
          <m:t>o</m:t>
        </m:r>
        <m:r>
          <m:t>r</m:t>
        </m:r>
        <m:r>
          <m:t>t</m:t>
        </m:r>
        <m:r>
          <m:t>f</m:t>
        </m:r>
        <m:r>
          <m:t>o</m:t>
        </m:r>
        <m:r>
          <m:t>l</m:t>
        </m:r>
        <m:r>
          <m:t>i</m:t>
        </m:r>
        <m:r>
          <m:t>o</m:t>
        </m:r>
        <m:r>
          <m:rPr>
            <m:sty m:val="p"/>
          </m:rPr>
          <m:t>(</m:t>
        </m:r>
      </m:oMath>
      <w:r>
        <w:t xml:space="preserve">144M, 8% cap rate). Golden was already in the raised guide; the key question is whether Q2 activity plus Gamehost/other closings drive another bump. Note the guide explicitly</w:t>
      </w:r>
      <w:r>
        <w:t xml:space="preserve"> </w:t>
      </w:r>
      <w:r>
        <w:rPr>
          <w:b/>
          <w:bCs/>
        </w:rPr>
        <w:t xml:space="preserve">excludes</w:t>
      </w:r>
      <w:r>
        <w:t xml:space="preserve"> </w:t>
      </w:r>
      <w:r>
        <w:t xml:space="preserve">unannounced deals and any CPI-escalator upside.</w:t>
      </w:r>
    </w:p>
    <w:bookmarkEnd w:id="13"/>
    <w:bookmarkStart w:id="14" w:name="Xdaad970d29efaee8257bc8c7fab77d396316a4b"/>
    <w:p>
      <w:pPr>
        <w:pStyle w:val="Heading3"/>
      </w:pPr>
      <w:r>
        <w:t xml:space="preserve">C. Interest rates and refinancing — the macro overhang</w:t>
      </w:r>
    </w:p>
    <w:p>
      <w:pPr>
        <w:pStyle w:val="FirstParagraph"/>
      </w:pPr>
      <w:r>
        <w:t xml:space="preserve">This report lands into a</w:t>
      </w:r>
      <w:r>
        <w:t xml:space="preserve"> </w:t>
      </w:r>
      <w:r>
        <w:rPr>
          <w:b/>
          <w:bCs/>
        </w:rPr>
        <w:t xml:space="preserve">"live" Fed meeting</w:t>
      </w:r>
      <w:r>
        <w:t xml:space="preserve"> </w:t>
      </w:r>
      <w:r>
        <w:t xml:space="preserve">(decision 7/29, with markets pricing ~1-in-3 odds of the first hike in years under new Chair Kevin Warsh). That's a headwind for a rate-sensitive net-lease REIT. Company-specific refi wall to track: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$500M (4.50%) and $1.25B (4.25%) notes mature in 2026</w:t>
      </w:r>
      <w:r>
        <w:t xml:space="preserve"> </w:t>
      </w:r>
      <w:r>
        <w:t xml:space="preserve">(Sept/Dec), rolling into a Feb 2027 maturity.</w:t>
      </w:r>
    </w:p>
    <w:p>
      <w:pPr>
        <w:pStyle w:val="Compact"/>
        <w:numPr>
          <w:ilvl w:val="0"/>
          <w:numId w:val="1003"/>
        </w:numPr>
      </w:pPr>
      <w:r>
        <w:t xml:space="preserve">Management is</w:t>
      </w:r>
      <w:r>
        <w:t xml:space="preserve"> </w:t>
      </w:r>
      <w:r>
        <w:rPr>
          <w:b/>
          <w:bCs/>
        </w:rPr>
        <w:t xml:space="preserve">pre-hedging</w:t>
      </w:r>
      <w:r>
        <w:t xml:space="preserve"> </w:t>
      </w:r>
      <w:r>
        <w:t xml:space="preserve">via forward-starting interest-rate swaps (~$500M notional so far) to lock base rates ahead of these refis. Expect an update on hedge coverage and expected refi cost — a swing factor for 2027 AFFO.</w:t>
      </w:r>
    </w:p>
    <w:bookmarkEnd w:id="14"/>
    <w:bookmarkStart w:id="15" w:name="X679806ef42d0591b28df881dcf09fdaf5624401"/>
    <w:p>
      <w:pPr>
        <w:pStyle w:val="Heading3"/>
      </w:pPr>
      <w:r>
        <w:t xml:space="preserve">D. External growth engine &amp; diversification</w:t>
      </w:r>
    </w:p>
    <w:p>
      <w:pPr>
        <w:pStyle w:val="Compact"/>
        <w:numPr>
          <w:ilvl w:val="0"/>
          <w:numId w:val="1004"/>
        </w:numPr>
      </w:pPr>
      <w:r>
        <w:t xml:space="preserve">**~</w:t>
      </w:r>
      <m:oMath>
        <m:r>
          <m:t>1.2</m:t>
        </m:r>
        <m:r>
          <m:t>B</m:t>
        </m:r>
        <m:r>
          <m:t>o</m:t>
        </m:r>
        <m:r>
          <m:t>f</m:t>
        </m:r>
        <m:r>
          <m:t>n</m:t>
        </m:r>
        <m:r>
          <m:t>e</m:t>
        </m:r>
        <m:r>
          <m:t>w</m:t>
        </m:r>
        <m:r>
          <m:t>c</m:t>
        </m:r>
        <m:r>
          <m:t>o</m:t>
        </m:r>
        <m:r>
          <m:t>m</m:t>
        </m:r>
        <m:r>
          <m:t>m</m:t>
        </m:r>
        <m:r>
          <m:t>i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f</m:t>
        </m:r>
        <m:r>
          <m:t>o</m:t>
        </m:r>
        <m:r>
          <m:t>l</m:t>
        </m:r>
        <m:r>
          <m:t>l</m:t>
        </m:r>
        <m:r>
          <m:t>o</m:t>
        </m:r>
        <m:r>
          <m:t>w</m:t>
        </m:r>
        <m:r>
          <m:t>i</m:t>
        </m:r>
        <m:r>
          <m:t>n</m:t>
        </m:r>
        <m:r>
          <m:t>g</m:t>
        </m:r>
        <m:r>
          <m:rPr>
            <m:sty m:val="p"/>
          </m:rPr>
          <m:t>&gt;</m:t>
        </m:r>
      </m:oMath>
      <w:r>
        <w:t xml:space="preserve">1B in Q4 2025 — the first back-to-back $1B+ quarters in company history.</w:t>
      </w:r>
    </w:p>
    <w:p>
      <w:pPr>
        <w:pStyle w:val="Compact"/>
        <w:numPr>
          <w:ilvl w:val="0"/>
          <w:numId w:val="1004"/>
        </w:numPr>
      </w:pPr>
      <w:r>
        <w:t xml:space="preserve">Watch for updates on the</w:t>
      </w:r>
      <w:r>
        <w:t xml:space="preserve"> </w:t>
      </w:r>
      <w:r>
        <w:rPr>
          <w:b/>
          <w:bCs/>
        </w:rPr>
        <w:t xml:space="preserve">Cain/Eldridge "Experiential Cross-Capital Venture"</w:t>
      </w:r>
      <w:r>
        <w:t xml:space="preserve"> </w:t>
      </w:r>
      <w:r>
        <w:t xml:space="preserve">(built around the $1.5B One Beverly Hills mezz loan) and whether the non-binding LOI progresses.</w:t>
      </w:r>
    </w:p>
    <w:p>
      <w:pPr>
        <w:pStyle w:val="Compact"/>
        <w:numPr>
          <w:ilvl w:val="0"/>
          <w:numId w:val="1004"/>
        </w:numPr>
      </w:pPr>
      <w:r>
        <w:t xml:space="preserve">Management has signaled growing conviction on</w:t>
      </w:r>
      <w:r>
        <w:t xml:space="preserve"> </w:t>
      </w:r>
      <w:r>
        <w:rPr>
          <w:b/>
          <w:bCs/>
        </w:rPr>
        <w:t xml:space="preserve">non-gaming experiential</w:t>
      </w:r>
      <w:r>
        <w:t xml:space="preserve"> </w:t>
      </w:r>
      <w:r>
        <w:t xml:space="preserve">— especially</w:t>
      </w:r>
      <w:r>
        <w:t xml:space="preserve"> </w:t>
      </w:r>
      <w:r>
        <w:rPr>
          <w:b/>
          <w:bCs/>
        </w:rPr>
        <w:t xml:space="preserve">collegiate/pro sports infrastructure and surrounding developments</w:t>
      </w:r>
      <w:r>
        <w:t xml:space="preserve"> </w:t>
      </w:r>
      <w:r>
        <w:t xml:space="preserve">("we know a lot more today than a year ago"). A first deal in a new vertical would be a narrative catalyst.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Alternative capital:</w:t>
      </w:r>
      <w:r>
        <w:t xml:space="preserve"> </w:t>
      </w:r>
      <w:r>
        <w:t xml:space="preserve">CFO Kieske has floated sourcing insurance/private capital (Realty Income / Prologis–style), and international debt (CAD, GBP, EUR). Any concrete step here would be notable given the stock trades below where management finds equity attractive.</w:t>
      </w:r>
    </w:p>
    <w:p>
      <w:pPr>
        <w:pStyle w:val="Compact"/>
        <w:numPr>
          <w:ilvl w:val="0"/>
          <w:numId w:val="1004"/>
        </w:numPr>
      </w:pPr>
      <w:r>
        <w:t xml:space="preserve">Tenant roster now at</w:t>
      </w:r>
      <w:r>
        <w:t xml:space="preserve"> </w:t>
      </w:r>
      <w:r>
        <w:rPr>
          <w:b/>
          <w:bCs/>
        </w:rPr>
        <w:t xml:space="preserve">14</w:t>
      </w:r>
      <w:r>
        <w:t xml:space="preserve"> </w:t>
      </w:r>
      <w:r>
        <w:t xml:space="preserve">(Clairvest added via MGM Northfield Park), continuing the diversification theme.</w:t>
      </w:r>
    </w:p>
    <w:bookmarkEnd w:id="15"/>
    <w:bookmarkStart w:id="16" w:name="e-loan-book--credit-watch-items"/>
    <w:p>
      <w:pPr>
        <w:pStyle w:val="Heading3"/>
      </w:pPr>
      <w:r>
        <w:t xml:space="preserve">E. Loan book / credit watch items</w:t>
      </w:r>
    </w:p>
    <w:p>
      <w:pPr>
        <w:pStyle w:val="Compact"/>
        <w:numPr>
          <w:ilvl w:val="0"/>
          <w:numId w:val="1005"/>
        </w:numPr>
      </w:pPr>
      <w:r>
        <w:t xml:space="preserve">Loans/securities are ~high-single-digit % of assets and growing again — expect questions on the right mix vs. sale-leaseback and repayment timing.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Century Casinos</w:t>
      </w:r>
      <w:r>
        <w:t xml:space="preserve"> </w:t>
      </w:r>
      <w:r>
        <w:t xml:space="preserve">remains under a strategic review (bank hired); VICI stresses strong asset-level coverage despite higher corporate leverage. Monitor for updates.</w:t>
      </w:r>
    </w:p>
    <w:bookmarkEnd w:id="16"/>
    <w:bookmarkEnd w:id="17"/>
    <w:bookmarkStart w:id="18" w:name="Xc38b22effd6b59e66980203db3381f8968f7bc2"/>
    <w:p>
      <w:pPr>
        <w:pStyle w:val="Heading2"/>
      </w:pPr>
      <w:r>
        <w:t xml:space="preserve">3. Model reference points</w:t>
      </w:r>
    </w:p>
    <w:p>
      <w:pPr>
        <w:pStyle w:val="Compact"/>
        <w:numPr>
          <w:ilvl w:val="0"/>
          <w:numId w:val="1006"/>
        </w:numPr>
      </w:pPr>
      <w:r>
        <w:t xml:space="preserve">Q1 2026 AFFO was</w:t>
      </w:r>
      <w:r>
        <w:t xml:space="preserve"> </w:t>
      </w:r>
      <m:oMath>
        <m:r>
          <m:t>0.61</m:t>
        </m:r>
        <m:r>
          <m:rPr>
            <m:sty m:val="p"/>
          </m:rPr>
          <m:t>;</m:t>
        </m:r>
        <m:r>
          <m:t>F</m:t>
        </m:r>
        <m:r>
          <m:t>Y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2.455) implies roughly</w:t>
      </w:r>
      <w:r>
        <w:t xml:space="preserve"> </w:t>
      </w:r>
      <w:r>
        <w:rPr>
          <w:b/>
          <w:bCs/>
        </w:rPr>
        <w:t xml:space="preserve">~</w:t>
      </w:r>
      <m:oMath>
        <m:r>
          <m:t>0.61</m:t>
        </m:r>
        <m:r>
          <m:rPr>
            <m:sty m:val="p"/>
          </m:rPr>
          <m:t>–</m:t>
        </m:r>
      </m:oMath>
      <w:r>
        <w:rPr>
          <w:b/>
          <w:bCs/>
        </w:rPr>
        <w:t xml:space="preserve">0.62/quarter</w:t>
      </w:r>
      <w:r>
        <w:t xml:space="preserve"> </w:t>
      </w:r>
      <w:r>
        <w:t xml:space="preserve">run-rate for the rest of the year (Golden now in numbers).</w:t>
      </w:r>
    </w:p>
    <w:p>
      <w:pPr>
        <w:pStyle w:val="Compact"/>
        <w:numPr>
          <w:ilvl w:val="0"/>
          <w:numId w:val="1006"/>
        </w:numPr>
      </w:pPr>
      <w:r>
        <w:t xml:space="preserve">Dividend yield ≈</w:t>
      </w:r>
      <w:r>
        <w:t xml:space="preserve"> </w:t>
      </w:r>
      <w:r>
        <w:rPr>
          <w:b/>
          <w:bCs/>
        </w:rPr>
        <w:t xml:space="preserve">6.6%</w:t>
      </w:r>
      <w:r>
        <w:t xml:space="preserve"> </w:t>
      </w:r>
      <w:r>
        <w:t xml:space="preserve">at ~</w:t>
      </w:r>
      <m:oMath>
        <m:r>
          <m:t>27</m:t>
        </m:r>
        <m:r>
          <m:rPr>
            <m:sty m:val="p"/>
          </m:rPr>
          <m:t>(</m:t>
        </m:r>
      </m:oMath>
      <w:r>
        <w:t xml:space="preserve">1.80 annualized).</w:t>
      </w:r>
    </w:p>
    <w:p>
      <w:pPr>
        <w:pStyle w:val="Compact"/>
        <w:numPr>
          <w:ilvl w:val="0"/>
          <w:numId w:val="1006"/>
        </w:numPr>
      </w:pPr>
      <w:r>
        <w:t xml:space="preserve">Watch the</w:t>
      </w:r>
      <w:r>
        <w:t xml:space="preserve"> </w:t>
      </w:r>
      <w:r>
        <w:rPr>
          <w:b/>
          <w:bCs/>
        </w:rPr>
        <w:t xml:space="preserve">CECL allowance line</w:t>
      </w:r>
      <w:r>
        <w:t xml:space="preserve"> </w:t>
      </w:r>
      <w:r>
        <w:t xml:space="preserve">— it will again distort GAAP net income/FFO in either direction and is not guided.</w:t>
      </w:r>
    </w:p>
    <w:bookmarkEnd w:id="18"/>
    <w:bookmarkStart w:id="19" w:name="X400ae2c6e63109d4b053414e3d333a2222f9ec4"/>
    <w:p>
      <w:pPr>
        <w:pStyle w:val="Heading2"/>
      </w:pPr>
      <w:r>
        <w:t xml:space="preserve">4. Stock context</w:t>
      </w:r>
    </w:p>
    <w:p>
      <w:pPr>
        <w:pStyle w:val="FirstParagraph"/>
      </w:pPr>
      <w:r>
        <w:t xml:space="preserve">VICI is roughly</w:t>
      </w:r>
      <w:r>
        <w:t xml:space="preserve"> </w:t>
      </w:r>
      <w:r>
        <w:rPr>
          <w:b/>
          <w:bCs/>
        </w:rPr>
        <w:t xml:space="preserve">flat-to-down ~4% YTD</w:t>
      </w:r>
      <w:r>
        <w:t xml:space="preserve"> </w:t>
      </w:r>
      <w:r>
        <w:t xml:space="preserve">(~</w:t>
      </w:r>
      <m:oMath>
        <m:r>
          <m:t>28.15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o</m:t>
        </m:r>
        <m:r>
          <m:t>f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27 into the print), having dipped to a ~$26 low in early July amid rate pressure — underperforming the S&amp;P 500. It has broadly tracked peer Realty Income (O) and lagged as rate-hike odds rose. With a ~6.6% yield and low-end leverage, the setup is defensive, but the stock is unlikely to re-rate until the rate overhang clears and/or Caesars credit concerns are put to rest.</w:t>
      </w:r>
    </w:p>
    <w:bookmarkEnd w:id="19"/>
    <w:bookmarkStart w:id="20" w:name="X4960e04ab25d5b0cc327a499929ad53a2a83d26"/>
    <w:p>
      <w:pPr>
        <w:pStyle w:val="Heading2"/>
      </w:pPr>
      <w:r>
        <w:t xml:space="preserve">5. Bottom line — what would move the stock</w:t>
      </w:r>
    </w:p>
    <w:p>
      <w:pPr>
        <w:pStyle w:val="FirstParagraph"/>
      </w:pPr>
      <w:r>
        <w:rPr>
          <w:b/>
          <w:bCs/>
        </w:rPr>
        <w:t xml:space="preserve">Bullish:</w:t>
      </w:r>
      <w:r>
        <w:t xml:space="preserve"> </w:t>
      </w:r>
      <w:r>
        <w:t xml:space="preserve">another guidance raise; constructive Caesars/Fertitta commentary + stable coverage; a first sports-infrastructure or alternative-capital deal; low refi cost locked via hedges.</w:t>
      </w:r>
      <w:r>
        <w:t xml:space="preserve"> </w:t>
      </w:r>
      <w:r>
        <w:rPr>
          <w:b/>
          <w:bCs/>
        </w:rPr>
        <w:t xml:space="preserve">Bearish:</w:t>
      </w:r>
      <w:r>
        <w:t xml:space="preserve"> </w:t>
      </w:r>
      <w:r>
        <w:t xml:space="preserve">cautious tone on Caesars/Las Vegas; higher-than-feared refi economics if the Fed hikes; loan-book/Century credit concerns; any pause in the deal cadence.</w:t>
      </w:r>
    </w:p>
    <w:p>
      <w:pPr>
        <w:pStyle w:val="BodyText"/>
      </w:pPr>
      <w:r>
        <w:t xml:space="preserve">Given VICI's fixed, triple-net rent, the fundamentals are likely to print in line with the raised guide. The</w:t>
      </w:r>
      <w:r>
        <w:t xml:space="preserve"> </w:t>
      </w:r>
      <w:r>
        <w:rPr>
          <w:b/>
          <w:bCs/>
        </w:rPr>
        <w:t xml:space="preserve">debate is entirely about tenant credit (Caesars) and the cost of capital (rates/refi)</w:t>
      </w:r>
      <w:r>
        <w:t xml:space="preserve"> </w:t>
      </w:r>
      <w:r>
        <w:t xml:space="preserve">— so the call commentary will matter more than the headline AFFO number.</w:t>
      </w:r>
    </w:p>
    <w:p>
      <w:pPr>
        <w:pStyle w:val="BodyText"/>
      </w:pPr>
      <w:r>
        <w:rPr>
          <w:i/>
          <w:iCs/>
        </w:rPr>
        <w:t xml:space="preserve">Note: figures above are drawn from VICI's Q1 2026 release/earnings call and recent news through 7/28/2026. This is research and context, not investment advice.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2026-07-29T02:13:49Z</dcterms:created>
  <dcterms:modified xsi:type="dcterms:W3CDTF">2026-07-29T02:13:49Z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