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ici-earnings-predictions--2026-07-29"/>
    <w:p>
      <w:pPr>
        <w:pStyle w:val="Heading1"/>
      </w:pPr>
      <w:r>
        <w:t xml:space="preserve">VICI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~$0.62 vs. cons $0.61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~$1.06B vs. cons $1.045B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Net Income / Diluted EPS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~$0.47 vs. cons $0.47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2.46</m:t>
              </m:r>
              <m:r>
                <m:rPr>
                  <m:sty m:val="p"/>
                </m:rPr>
                <m:t>−</m:t>
              </m:r>
            </m:oMath>
            <w:r>
              <w:t xml:space="preserve">2.49 (mid $2.48) vs. cons $2.46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Debt/Adjusted EBITDA leverage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~5.0x-5.5x (current ~5.0x) vs. cons/prior 5.0x-5.5x (FY2026-27 target range)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dividend increase signaling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0.48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  <m:r>
                <m:t>7</m:t>
              </m:r>
            </m:oMath>
            <w:r>
              <w:t xml:space="preserve">0.48/qtr (Q3 2026 declaration)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(STABILIZE)</w:t>
            </w:r>
          </w:p>
        </w:tc>
        <w:tc>
          <w:tcPr/>
          <w:p>
            <w:pPr>
              <w:pStyle w:val="Compact"/>
            </w:pPr>
            <w:r>
              <w:t xml:space="preserve">A modest AFFO/revenue beat and a routine guidance raise (driven by already-known Golden Entertainment/Gamehost/Club Med closings) are largely pre-telegraphed by the Q1 asset-count disclosure, limiting surprise/estimate-revision upside. The dominant swing factor — Caesars/Fertitta and MGM/Diller take-private uncertainty covering ~70% of rent — is unlikely to be resolved on this call, so any initial pop from in-line-to-better numbers fades as investors refocus on unresolved tenant-credit overhangs and 2026 refinancing needs, while downside is cushioned by contractual, escalator-driven cash flows and a still-attractive ~6.7% yield anchoring the stock near current levels.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2026-07-29T02:14:45Z</dcterms:created>
  <dcterms:modified xsi:type="dcterms:W3CDTF">2026-07-29T02:14:45Z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