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b3efb2cfa33eb14ae19856ece4327d268fcf9ff"/>
    <w:p>
      <w:pPr>
        <w:pStyle w:val="Heading1"/>
      </w:pPr>
      <w:r>
        <w:t xml:space="preserve">VICI Properties (VICI) — Q2 2026 Earnings Preview</w:t>
      </w:r>
    </w:p>
    <w:p>
      <w:pPr>
        <w:pStyle w:val="FirstParagraph"/>
      </w:pPr>
      <w:r>
        <w:rPr>
          <w:b/>
          <w:bCs/>
        </w:rPr>
        <w:t xml:space="preserve">Report Date:</w:t>
      </w:r>
      <w:r>
        <w:t xml:space="preserve"> </w:t>
      </w:r>
      <w:r>
        <w:t xml:space="preserve">Wednesday, July 29, 2026, after market close |</w:t>
      </w:r>
      <w:r>
        <w:t xml:space="preserve"> </w:t>
      </w:r>
      <w:r>
        <w:rPr>
          <w:b/>
          <w:bCs/>
        </w:rPr>
        <w:t xml:space="preserve">Call:</w:t>
      </w:r>
      <w:r>
        <w:t xml:space="preserve"> </w:t>
      </w:r>
      <w:r>
        <w:t xml:space="preserve">Thursday, July 30, 2026, 10:00 a.m. ET</w:t>
      </w:r>
    </w:p>
    <w:p>
      <w:r>
        <w:pict>
          <v:rect style="width:0;height:1.5pt" o:hralign="center" o:hrstd="t" o:hr="t"/>
        </w:pict>
      </w:r>
    </w:p>
    <w:bookmarkStart w:id="9" w:name="Xa5fe3eb4764aa67b7c48dc597369790436a32e8"/>
    <w:p>
      <w:pPr>
        <w:pStyle w:val="Heading2"/>
      </w:pPr>
      <w:r>
        <w:t xml:space="preserve">1. Setup and Expectations</w:t>
      </w:r>
    </w:p>
    <w:p>
      <w:pPr>
        <w:pStyle w:val="FirstParagraph"/>
      </w:pPr>
      <w:r>
        <w:t xml:space="preserve">VICI heads into Wednesday's print with shares near five-year lows despite steady operating performance — the stock closed around $27.11 on July 28, well off its 52-week high and down roughly 6% over the past three months even as the S&amp;P 500 has rallied. The disconnect is almost entirely a story about tenant-level M&amp;A headline risk rather than fundamentals (more below).</w:t>
      </w:r>
    </w:p>
    <w:p>
      <w:pPr>
        <w:pStyle w:val="BodyText"/>
      </w:pPr>
      <w:r>
        <w:rPr>
          <w:b/>
          <w:bCs/>
        </w:rPr>
        <w:t xml:space="preserve">Consensus for Q2 2026:</w:t>
      </w:r>
    </w:p>
    <w:p>
      <w:pPr>
        <w:pStyle w:val="Compact"/>
        <w:numPr>
          <w:ilvl w:val="0"/>
          <w:numId w:val="1001"/>
        </w:numPr>
      </w:pPr>
      <w:r>
        <w:t xml:space="preserve">Revenue: roughly</w:t>
      </w:r>
      <w:r>
        <w:t xml:space="preserve"> </w:t>
      </w:r>
      <m:oMath>
        <m:r>
          <m:t>1.04</m:t>
        </m:r>
        <m:r>
          <m:rPr>
            <m:sty m:val="p"/>
          </m:rPr>
          <m:t>–</m:t>
        </m:r>
      </m:oMath>
      <w:r>
        <w:t xml:space="preserve">1.05 billion</w:t>
      </w:r>
    </w:p>
    <w:p>
      <w:pPr>
        <w:pStyle w:val="Compact"/>
        <w:numPr>
          <w:ilvl w:val="0"/>
          <w:numId w:val="1001"/>
        </w:numPr>
      </w:pPr>
      <w:r>
        <w:t xml:space="preserve">AFFO/share: consensus has clustered around</w:t>
      </w:r>
      <w:r>
        <w:t xml:space="preserve"> </w:t>
      </w:r>
      <m:oMath>
        <m:r>
          <m:t>0.60</m:t>
        </m:r>
        <m:r>
          <m:rPr>
            <m:sty m:val="p"/>
          </m:rPr>
          <m:t>–</m:t>
        </m:r>
      </m:oMath>
      <w:r>
        <w:t xml:space="preserve">0.62 (Zacks most recently at $0.62, up a penny over the last three months), implying ~3–4% y/y growth against the $0.60 reported a year ago</w:t>
      </w:r>
    </w:p>
    <w:p>
      <w:pPr>
        <w:pStyle w:val="Compact"/>
        <w:numPr>
          <w:ilvl w:val="0"/>
          <w:numId w:val="1001"/>
        </w:numPr>
      </w:pPr>
      <w:r>
        <w:t xml:space="preserve">Full-year 2026 AFFO guidance, raised at Q1, stands at $2.44 per share -</w:t>
      </w:r>
      <w:r>
        <w:t xml:space="preserve"> </w:t>
      </w:r>
      <m:oMath>
        <m:r>
          <m:t>2.47</m:t>
        </m:r>
        <m:r>
          <m:t>p</m:t>
        </m:r>
        <m:r>
          <m:t>e</m:t>
        </m:r>
        <m:r>
          <m:t>r</m:t>
        </m:r>
        <m:r>
          <m:t>s</m:t>
        </m:r>
        <m:r>
          <m:t>h</m:t>
        </m:r>
        <m:r>
          <m:t>a</m:t>
        </m:r>
        <m:r>
          <m:t>r</m:t>
        </m:r>
        <m:r>
          <m:t>e</m:t>
        </m:r>
        <m:r>
          <m:rPr>
            <m:sty m:val="p"/>
          </m:rPr>
          <m:t>,</m:t>
        </m:r>
        <m:r>
          <m:t>a</m:t>
        </m:r>
        <m:r>
          <m:t>l</m:t>
        </m:r>
        <m:r>
          <m:t>i</m:t>
        </m:r>
        <m:r>
          <m:t>g</m:t>
        </m:r>
        <m:r>
          <m:t>n</m:t>
        </m:r>
        <m:r>
          <m:t>i</m:t>
        </m:r>
        <m:r>
          <m:t>n</m:t>
        </m:r>
        <m:r>
          <m:t>g</m:t>
        </m:r>
        <m:r>
          <m:t>w</m:t>
        </m:r>
        <m:r>
          <m:t>i</m:t>
        </m:r>
        <m:r>
          <m:t>t</m:t>
        </m:r>
        <m:r>
          <m:t>h</m:t>
        </m:r>
        <m:r>
          <m:t>t</m:t>
        </m:r>
        <m:r>
          <m:t>h</m:t>
        </m:r>
        <m:r>
          <m:t>e</m:t>
        </m:r>
        <m:r>
          <m:t>c</m:t>
        </m:r>
        <m:r>
          <m:t>o</m:t>
        </m:r>
        <m:r>
          <m:t>n</m:t>
        </m:r>
        <m:r>
          <m:t>s</m:t>
        </m:r>
        <m:r>
          <m:t>e</m:t>
        </m:r>
        <m:r>
          <m:t>n</m:t>
        </m:r>
        <m:r>
          <m:t>s</m:t>
        </m:r>
        <m:r>
          <m:t>u</m:t>
        </m:r>
        <m:r>
          <m:t>s</m:t>
        </m:r>
        <m:r>
          <m:t>e</m:t>
        </m:r>
        <m:r>
          <m:t>s</m:t>
        </m:r>
        <m:r>
          <m:t>t</m:t>
        </m:r>
        <m:r>
          <m:t>i</m:t>
        </m:r>
        <m:r>
          <m:t>m</m:t>
        </m:r>
        <m:r>
          <m:t>a</m:t>
        </m:r>
        <m:r>
          <m:t>t</m:t>
        </m:r>
        <m:r>
          <m:t>e</m:t>
        </m:r>
        <m:r>
          <m:t>f</m:t>
        </m:r>
        <m:r>
          <m:t>o</m:t>
        </m:r>
        <m:r>
          <m:t>r</m:t>
        </m:r>
        <m:r>
          <m:t>t</m:t>
        </m:r>
        <m:r>
          <m:t>h</m:t>
        </m:r>
        <m:r>
          <m:t>e</m:t>
        </m:r>
        <m:r>
          <m:t>f</m:t>
        </m:r>
        <m:r>
          <m:t>u</m:t>
        </m:r>
        <m:r>
          <m:t>l</m:t>
        </m:r>
        <m:r>
          <m:t>l</m:t>
        </m:r>
        <m:r>
          <m:t>y</m:t>
        </m:r>
        <m:r>
          <m:t>e</m:t>
        </m:r>
        <m:r>
          <m:t>a</m:t>
        </m:r>
        <m:r>
          <m:t>r</m:t>
        </m:r>
        <m:r>
          <m:rPr>
            <m:sty m:val="p"/>
          </m:rPr>
          <m:t>(</m:t>
        </m:r>
        <m:r>
          <m:t> </m:t>
        </m:r>
      </m:oMath>
      <w:r>
        <w:t xml:space="preserve">2.665–$2.695 billion in absolute AFFO dollars)</w:t>
      </w:r>
    </w:p>
    <w:p>
      <w:pPr>
        <w:pStyle w:val="FirstParagraph"/>
      </w:pPr>
      <w:r>
        <w:t xml:space="preserve">VICI has a clean beat/meet record heading in: it has exceeded or met Wall Street's bottom-line estimates in each of the past four quarters. Sell-side sentiment is cautiously optimistic, with an overall "Moderate Buy" rating — among 24 analysts covering the stock, 14 suggest a "Strong Buy," one gives a "Moderate Buy," and nine recommend a "Hold".</w:t>
      </w:r>
    </w:p>
    <w:bookmarkEnd w:id="9"/>
    <w:bookmarkStart w:id="10" w:name="Xd34ad6c2c87f09439ead83cdded1e23b71a7c24"/>
    <w:p>
      <w:pPr>
        <w:pStyle w:val="Heading2"/>
      </w:pPr>
      <w:r>
        <w:t xml:space="preserve">2. Q1 2026 Recap — The Base Case Going In</w:t>
      </w:r>
    </w:p>
    <w:p>
      <w:pPr>
        <w:pStyle w:val="FirstParagraph"/>
      </w:pPr>
      <w:r>
        <w:t xml:space="preserve">Q1 set a constructive tone: total revenue rose 3.5% y/y to just over $1.0 billion, AFFO attributable to common stockholders grew 5.7% to $650.9 million, and AFFO per share rose 4.5% to $0.61. Net income jumped 60.5% on a large favorable swing in the non-cash CECL credit-loss allowance. Management used the quarter to raise full-year AFFO guidance and reported roughly $1.2 billion of new capital commitments — the second consecutive quarter above $1 billion, a first in company history, including the $1.05 billion expansion of the One Beverly Hills mezzanine loan alongside Cain and Eldridge Industries and the pending Alberta casino acquisition tied to PURE's take-private of Gamehost.</w:t>
      </w:r>
    </w:p>
    <w:p>
      <w:pPr>
        <w:pStyle w:val="BodyText"/>
      </w:pPr>
      <w:r>
        <w:t xml:space="preserve">Importantly, several deals that were only "pending" in the Q1 release have almost certainly closed during Q2: the $1.16 billion, seven-property Golden Entertainment sale-leaseback closed on/around April 30 (the first day of Q2), and VICI's late-June release-date announcement already shows the portfolio at</w:t>
      </w:r>
      <w:r>
        <w:t xml:space="preserve"> </w:t>
      </w:r>
      <w:r>
        <w:rPr>
          <w:b/>
          <w:bCs/>
        </w:rPr>
        <w:t xml:space="preserve">103 experiential assets (63 gaming, 40 other)</w:t>
      </w:r>
      <w:r>
        <w:t xml:space="preserve"> </w:t>
      </w:r>
      <w:r>
        <w:t xml:space="preserve">— up from 93 assets (54 gaming, 39 other) at Q1 — implying the Golden Entertainment and Gamehost transactions, plus the mid-June Club Med/Carambola Beach Resort sale-leaseback, are now reflected in the asset count. This should show up as a full or near-full quarter of incremental rent in Q2 and is a key reason estimates call for accelerating revenue growth.</w:t>
      </w:r>
    </w:p>
    <w:bookmarkEnd w:id="10"/>
    <w:bookmarkStart w:id="11" w:name="Xa592858f235322c82a17633ea16705a89175ddc"/>
    <w:p>
      <w:pPr>
        <w:pStyle w:val="Heading2"/>
      </w:pPr>
      <w:r>
        <w:t xml:space="preserve">3. The Big Story: Two of VICI's Largest Tenants Are Both Subject to Take-Private Bids</w:t>
      </w:r>
    </w:p>
    <w:p>
      <w:pPr>
        <w:pStyle w:val="FirstParagraph"/>
      </w:pPr>
      <w:r>
        <w:t xml:space="preserve">This is arguably the single most important theme for the call, and probably why the stock trades at a discounted multiple right now.</w:t>
      </w:r>
    </w:p>
    <w:p>
      <w:pPr>
        <w:pStyle w:val="BodyText"/>
      </w:pPr>
      <w:r>
        <w:rPr>
          <w:b/>
          <w:bCs/>
        </w:rPr>
        <w:t xml:space="preserve">Caesars/Fertitta:</w:t>
      </w:r>
      <w:r>
        <w:t xml:space="preserve"> </w:t>
      </w:r>
      <w:r>
        <w:t xml:space="preserve">After months of speculation, Caesars Entertainment announced it entered into a definitive agreement to be acquired by Fertitta Entertainment in an all-cash transaction valued at approximately $17.6 billion, including the assumption of approximately $11.9 billion of Caesars' outstanding debt, with shareholders receiving $31.00 in cash for each outstanding Caesars share, a deal signed May 28, 2026. The agreement carried a go-shop period that ran through around July 11, 2026, and the deal is not subject to a financing condition, remaining subject to shareholder and regulatory approvals. Caesars is VICI's single largest tenant — VICI has Caesars as its largest tenant at 39% of its rent — so the credit quality and capital structure of the post-buyout entity matters enormously to VICI's risk profile. Sell-side analysts have flagged that a Fertitta-controlled Caesars would be perceived as a tenant credit downgrade from investors because Fertitta is highly levered and would impact VICI's broader tenant credit quality, while other analysis notes leverage under the deal ranging from 7.1x to 8.4x depending on debt financing mix. On the Q1 call, management (before the deal was announced) was explicit that VICI has no veto power over an acquisition unless the acquisition is contingent on modifications of Caesars leases with VICI, and there was nothing suggesting Fertitta's offer would be contingent on lease modifications — so investors should expect management to reiterate that its triple-net leases remain intact and unaffected by the change of control, while fielding detailed questions on Fertitta's post-close leverage and coverage.</w:t>
      </w:r>
    </w:p>
    <w:p>
      <w:pPr>
        <w:pStyle w:val="BodyText"/>
      </w:pPr>
      <w:r>
        <w:t xml:space="preserve">Adding to the complexity, Caesars just reported a soft Q2 print the same day as VICI's release: Caesars posted a second quarter loss per share of $0.30 and net revenue of $3 billion, with adjusted EBITDA of $920 million missing the roughly $960 million Street estimate as regional strength was offset by weakness in Vegas and digital. Expect questions on whether softer Caesars performance affects rent coverage on the Caesars Las Vegas and Regional Master Leases.</w:t>
      </w:r>
    </w:p>
    <w:p>
      <w:pPr>
        <w:pStyle w:val="BodyText"/>
      </w:pPr>
      <w:r>
        <w:rPr>
          <w:b/>
          <w:bCs/>
        </w:rPr>
        <w:t xml:space="preserve">MGM/Diller:</w:t>
      </w:r>
      <w:r>
        <w:t xml:space="preserve"> </w:t>
      </w:r>
      <w:r>
        <w:t xml:space="preserve">Separately, VICI's other anchor tenant relationship is also in play. Barry Diller's People Inc. submitted a proposal to acquire all outstanding MGM shares it does not already own for $48.30 per share in cash, which would give the company just over 50.1% of the equity and control of MGM International. As of mid-July, MGM formed a special committee to evaluate the bid, with reports the current proposal under review is worth roughly $12.4 billion versus Diller's original $18 billion valuation — no definitive agreement has been reached. One analyst summary frames the stakes bluntly: Caesars/MGM account for 70% of VICI's rent, with the potential buyouts triggering near-term lease uncertainties, worsened by reduced visibility into the two tenants' future financial health. Investors should listen closely for any updated management commentary on MGM Master Lease coverage and how VICI is thinking about counterparty concentration risk if both processes conclude.</w:t>
      </w:r>
    </w:p>
    <w:bookmarkEnd w:id="11"/>
    <w:bookmarkStart w:id="12" w:name="X7df5c02fa6dd255fe953a5112c9a1d3974429eb"/>
    <w:p>
      <w:pPr>
        <w:pStyle w:val="Heading2"/>
      </w:pPr>
      <w:r>
        <w:t xml:space="preserve">4. Las Vegas / Regional Operating Backdrop</w:t>
      </w:r>
    </w:p>
    <w:p>
      <w:pPr>
        <w:pStyle w:val="FirstParagraph"/>
      </w:pPr>
      <w:r>
        <w:t xml:space="preserve">Nevada gaming data through Q2 was mixed but broadly stable — a useful read-through for coverage ratios on VICI's largest leases:</w:t>
      </w:r>
    </w:p>
    <w:p>
      <w:pPr>
        <w:pStyle w:val="Compact"/>
        <w:numPr>
          <w:ilvl w:val="0"/>
          <w:numId w:val="1002"/>
        </w:numPr>
      </w:pPr>
      <w:r>
        <w:t xml:space="preserve">May was a standout month, with the Las Vegas Strip posting $807.9 million in gaming win — the eighth-highest monthly total in the corridor's history — and a 13.19% increase over May 2025.</w:t>
      </w:r>
    </w:p>
    <w:p>
      <w:pPr>
        <w:pStyle w:val="Compact"/>
        <w:numPr>
          <w:ilvl w:val="0"/>
          <w:numId w:val="1002"/>
        </w:numPr>
      </w:pPr>
      <w:r>
        <w:t xml:space="preserve">June cooled: Clark County reported a gaming win of $1.15 billion in June, a 0.72% decrease from June 2025, with the Las Vegas Strip specifically falling 1.39%, while LVCVA visitor volume was nearly 3.08 million for June, a 0.5% drop compared to June 2025, though convention attendance jumped nearly 26%, up to 471,100.</w:t>
      </w:r>
    </w:p>
    <w:p>
      <w:pPr>
        <w:pStyle w:val="Compact"/>
        <w:numPr>
          <w:ilvl w:val="0"/>
          <w:numId w:val="1002"/>
        </w:numPr>
      </w:pPr>
      <w:r>
        <w:t xml:space="preserve">For the full state fiscal year (July 2025–June 2026), statewide gaming win increased 2.59%, reaching just over $16.0 billion compared to $15.6 billion the prior fiscal year.</w:t>
      </w:r>
    </w:p>
    <w:p>
      <w:pPr>
        <w:pStyle w:val="FirstParagraph"/>
      </w:pPr>
      <w:r>
        <w:t xml:space="preserve">Analysts generally frame the quarter as stable-to-positive for operators: "we expect upcoming operator prints to indicate stable trends in the market, with Caesars Entertainment appearing the primary beneficiary of State Farm-driven group demand, while MGM is more leveraged to high-end baccarat strength... In short, we expect positive second-quarter earnings amid longer-term uncertainty". This matters for VICI only indirectly (rent is contractual, not revenue-share for most leases), but it's a proxy for tenant health and future percentage-rent/escalator dynamics, and management typically comments on it.</w:t>
      </w:r>
    </w:p>
    <w:bookmarkEnd w:id="12"/>
    <w:bookmarkStart w:id="13" w:name="X5ca5d8c921fea97386162b2c39d6383524927a4"/>
    <w:p>
      <w:pPr>
        <w:pStyle w:val="Heading2"/>
      </w:pPr>
      <w:r>
        <w:t xml:space="preserve">5. Growth Pipeline and Capital Deployment to Watch</w:t>
      </w:r>
    </w:p>
    <w:p>
      <w:pPr>
        <w:pStyle w:val="FirstParagraph"/>
      </w:pPr>
      <w:r>
        <w:t xml:space="preserve">On the Q1 call, management flagged several open threads that could see updates:</w:t>
      </w:r>
    </w:p>
    <w:p>
      <w:pPr>
        <w:pStyle w:val="Compact"/>
        <w:numPr>
          <w:ilvl w:val="0"/>
          <w:numId w:val="1003"/>
        </w:numPr>
      </w:pPr>
      <w:r>
        <w:rPr>
          <w:b/>
          <w:bCs/>
        </w:rPr>
        <w:t xml:space="preserve">Partner Property Growth Fund at the Venetian</w:t>
      </w:r>
      <w:r>
        <w:t xml:space="preserve"> </w:t>
      </w:r>
      <w:r>
        <w:t xml:space="preserve">— a potential incremental $300 million in funding remains undecided; CFO David Kieske noted the capital "is still potentially happening" and flexible on timing.</w:t>
      </w:r>
    </w:p>
    <w:p>
      <w:pPr>
        <w:pStyle w:val="Compact"/>
        <w:numPr>
          <w:ilvl w:val="0"/>
          <w:numId w:val="1003"/>
        </w:numPr>
      </w:pPr>
      <w:r>
        <w:rPr>
          <w:b/>
          <w:bCs/>
        </w:rPr>
        <w:t xml:space="preserve">One Beverly Hills / Cain-Eldridge relationship</w:t>
      </w:r>
      <w:r>
        <w:t xml:space="preserve"> </w:t>
      </w:r>
      <w:r>
        <w:t xml:space="preserve">— the $1.5 billion mezzanine loan (with $650 million already funded at close) and a non-binding letter of intent to form an "Experiential Cross-Capital Venture" with Cain and Eldridge Industries; watch for progress on formalizing this structure.</w:t>
      </w:r>
    </w:p>
    <w:p>
      <w:pPr>
        <w:pStyle w:val="Compact"/>
        <w:numPr>
          <w:ilvl w:val="0"/>
          <w:numId w:val="1003"/>
        </w:numPr>
      </w:pPr>
      <w:r>
        <w:rPr>
          <w:b/>
          <w:bCs/>
        </w:rPr>
        <w:t xml:space="preserve">Century Casinos strategic review</w:t>
      </w:r>
      <w:r>
        <w:t xml:space="preserve"> </w:t>
      </w:r>
      <w:r>
        <w:t xml:space="preserve">— management confirmed on the Q1 call that Century (a VICI tenant) has hired a bank and is exploring strategic alternatives; asset-level coverage was described as strong even if corporate leverage is elevated.</w:t>
      </w:r>
    </w:p>
    <w:p>
      <w:pPr>
        <w:pStyle w:val="Compact"/>
        <w:numPr>
          <w:ilvl w:val="0"/>
          <w:numId w:val="1003"/>
        </w:numPr>
      </w:pPr>
      <w:r>
        <w:rPr>
          <w:b/>
          <w:bCs/>
        </w:rPr>
        <w:t xml:space="preserve">New verticals</w:t>
      </w:r>
      <w:r>
        <w:t xml:space="preserve"> </w:t>
      </w:r>
      <w:r>
        <w:t xml:space="preserve">— the mid-June Club Med/Carambola Beach Resort sale-leaseback signals continued non-gaming diversification, and John Payne noted ongoing work in "university and professional sports infrastructure" as a next potential growth vertical, though without a specific timeline.</w:t>
      </w:r>
    </w:p>
    <w:p>
      <w:pPr>
        <w:pStyle w:val="Compact"/>
        <w:numPr>
          <w:ilvl w:val="0"/>
          <w:numId w:val="1003"/>
        </w:numPr>
      </w:pPr>
      <w:r>
        <w:rPr>
          <w:b/>
          <w:bCs/>
        </w:rPr>
        <w:t xml:space="preserve">Capital markets</w:t>
      </w:r>
      <w:r>
        <w:t xml:space="preserve"> </w:t>
      </w:r>
      <w:r>
        <w:t xml:space="preserve">— VICI settled its remaining forward equity (~$242 million net proceeds) in April and has been layering in forward-starting interest rate swaps ahead of debt maturities in September/December 2026 and into 2027; expect updates on refinancing plans given the $500 million of 4.500% notes and $1.25 billion of 4.250% notes due in 2026.</w:t>
      </w:r>
    </w:p>
    <w:bookmarkEnd w:id="13"/>
    <w:bookmarkStart w:id="14" w:name="X9510f6e7c964b220fa55d652c5f43253dd2cde4"/>
    <w:p>
      <w:pPr>
        <w:pStyle w:val="Heading2"/>
      </w:pPr>
      <w:r>
        <w:t xml:space="preserve">6. Balance Sheet and Dividend</w:t>
      </w:r>
    </w:p>
    <w:p>
      <w:pPr>
        <w:pStyle w:val="FirstParagraph"/>
      </w:pPr>
      <w:r>
        <w:t xml:space="preserve">At Q1-end, VICI carried about</w:t>
      </w:r>
      <w:r>
        <w:t xml:space="preserve"> </w:t>
      </w:r>
      <m:oMath>
        <m:r>
          <m:t>17.1</m:t>
        </m:r>
        <m:r>
          <m:t>b</m:t>
        </m:r>
        <m:r>
          <m:t>i</m:t>
        </m:r>
        <m:r>
          <m:t>l</m:t>
        </m:r>
        <m:r>
          <m:t>l</m:t>
        </m:r>
        <m:r>
          <m:t>i</m:t>
        </m:r>
        <m:r>
          <m:t>o</m:t>
        </m:r>
        <m:r>
          <m:t>n</m:t>
        </m:r>
        <m:r>
          <m:t>i</m:t>
        </m:r>
        <m:r>
          <m:t>n</m:t>
        </m:r>
        <m:r>
          <m:t>t</m:t>
        </m:r>
        <m:r>
          <m:t>o</m:t>
        </m:r>
        <m:r>
          <m:t>t</m:t>
        </m:r>
        <m:r>
          <m:t>a</m:t>
        </m:r>
        <m:r>
          <m:t>l</m:t>
        </m:r>
        <m:r>
          <m:t>d</m:t>
        </m:r>
        <m:r>
          <m:t>e</m:t>
        </m:r>
        <m:r>
          <m:t>b</m:t>
        </m:r>
        <m:r>
          <m:t>t</m:t>
        </m:r>
        <m:r>
          <m:rPr>
            <m:sty m:val="p"/>
          </m:rPr>
          <m:t>,</m:t>
        </m:r>
        <m:r>
          <m:t> </m:t>
        </m:r>
        <m:r>
          <m:t>5.0</m:t>
        </m:r>
        <m:r>
          <m:t>x</m:t>
        </m:r>
        <m:r>
          <m:t>n</m:t>
        </m:r>
        <m:r>
          <m:t>e</m:t>
        </m:r>
        <m:r>
          <m:t>t</m:t>
        </m:r>
        <m:r>
          <m:t>d</m:t>
        </m:r>
        <m:r>
          <m:t>e</m:t>
        </m:r>
        <m:r>
          <m:t>b</m:t>
        </m:r>
        <m:r>
          <m:t>t</m:t>
        </m:r>
        <m:r>
          <m:rPr>
            <m:sty m:val="p"/>
          </m:rPr>
          <m:t>/</m:t>
        </m:r>
        <m:r>
          <m:t>a</m:t>
        </m:r>
        <m:r>
          <m:t>n</m:t>
        </m:r>
        <m:r>
          <m:t>n</m:t>
        </m:r>
        <m:r>
          <m:t>u</m:t>
        </m:r>
        <m:r>
          <m:t>a</m:t>
        </m:r>
        <m:r>
          <m:t>l</m:t>
        </m:r>
        <m:r>
          <m:t>i</m:t>
        </m:r>
        <m:r>
          <m:t>z</m:t>
        </m:r>
        <m:r>
          <m:t>e</m:t>
        </m:r>
        <m:r>
          <m:t>d</m:t>
        </m:r>
        <m:r>
          <m:t>a</m:t>
        </m:r>
        <m:r>
          <m:t>d</m:t>
        </m:r>
        <m:r>
          <m:t>j</m:t>
        </m:r>
        <m:r>
          <m:t>u</m:t>
        </m:r>
        <m:r>
          <m:t>s</m:t>
        </m:r>
        <m:r>
          <m:t>t</m:t>
        </m:r>
        <m:r>
          <m:t>e</m:t>
        </m:r>
        <m:r>
          <m:t>d</m:t>
        </m:r>
        <m:r>
          <m:t>E</m:t>
        </m:r>
        <m:r>
          <m:t>B</m:t>
        </m:r>
        <m:r>
          <m:t>I</m:t>
        </m:r>
        <m:r>
          <m:t>T</m:t>
        </m:r>
        <m:r>
          <m:t>D</m:t>
        </m:r>
        <m:r>
          <m:t>A</m:t>
        </m:r>
        <m:r>
          <m:rPr>
            <m:sty m:val="p"/>
          </m:rPr>
          <m:t>(</m:t>
        </m:r>
        <m:r>
          <m:t>t</m:t>
        </m:r>
        <m:r>
          <m:t>h</m:t>
        </m:r>
        <m:r>
          <m:t>e</m:t>
        </m:r>
        <m:r>
          <m:t>l</m:t>
        </m:r>
        <m:r>
          <m:t>o</m:t>
        </m:r>
        <m:r>
          <m:t>w</m:t>
        </m:r>
        <m:r>
          <m:t>e</m:t>
        </m:r>
        <m:r>
          <m:t>n</m:t>
        </m:r>
        <m:r>
          <m:t>d</m:t>
        </m:r>
        <m:r>
          <m:t>o</m:t>
        </m:r>
        <m:r>
          <m:t>f</m:t>
        </m:r>
        <m:r>
          <m:t>i</m:t>
        </m:r>
        <m:r>
          <m:t>t</m:t>
        </m:r>
        <m:r>
          <m:t>s</m:t>
        </m:r>
        <m:r>
          <m:t>5.0</m:t>
        </m:r>
        <m:r>
          <m:rPr>
            <m:sty m:val="p"/>
          </m:rPr>
          <m:t>–</m:t>
        </m:r>
        <m:r>
          <m:t>5.5</m:t>
        </m:r>
        <m:r>
          <m:t>x</m:t>
        </m:r>
        <m:r>
          <m:t>t</m:t>
        </m:r>
        <m:r>
          <m:t>a</m:t>
        </m:r>
        <m:r>
          <m:t>r</m:t>
        </m:r>
        <m:r>
          <m:t>g</m:t>
        </m:r>
        <m:r>
          <m:t>e</m:t>
        </m:r>
        <m:r>
          <m:t>t</m:t>
        </m:r>
        <m:r>
          <m:t>r</m:t>
        </m:r>
        <m:r>
          <m:t>a</m:t>
        </m:r>
        <m:r>
          <m:t>n</m:t>
        </m:r>
        <m:r>
          <m:t>g</m:t>
        </m:r>
        <m:r>
          <m:t>e</m:t>
        </m:r>
        <m:r>
          <m:rPr>
            <m:sty m:val="p"/>
          </m:rPr>
          <m:t>)</m:t>
        </m:r>
        <m:r>
          <m:rPr>
            <m:sty m:val="p"/>
          </m:rPr>
          <m:t>,</m:t>
        </m:r>
        <m:r>
          <m:t>a</m:t>
        </m:r>
        <m:r>
          <m:t>4.46</m:t>
        </m:r>
      </m:oMath>
      <w:r>
        <w:t xml:space="preserve">3.1 billion of total liquidity. The company has raised its dividend every year since its 2018 IPO, most recently to $0.45/quarter (an 8-year CAGR of ~7%), and management has emphasized protecting that track record; with AFFO payout still around 74–75%, a ninth consecutive annual increase around the Q3 report remains the base case. At current prices, the stock yields roughly 6.7–6.9%, well above its historical average, and trades around 10.7–10.9x forward AFFO versus a multi-year average closer to 14x — a valuation gap that is squarely a function of the Caesars/MGM overhangs described above rather than any deterioration in contracted cash flows.</w:t>
      </w:r>
    </w:p>
    <w:bookmarkEnd w:id="14"/>
    <w:bookmarkStart w:id="15" w:name="X16448ab684ef14a4ab80a23f7681e3c009a9150"/>
    <w:p>
      <w:pPr>
        <w:pStyle w:val="Heading2"/>
      </w:pPr>
      <w:r>
        <w:t xml:space="preserve">7. What to Listen For on the Call</w:t>
      </w:r>
    </w:p>
    <w:p>
      <w:pPr>
        <w:pStyle w:val="Compact"/>
        <w:numPr>
          <w:ilvl w:val="0"/>
          <w:numId w:val="1004"/>
        </w:numPr>
      </w:pPr>
      <w:r>
        <w:rPr>
          <w:b/>
          <w:bCs/>
        </w:rPr>
        <w:t xml:space="preserve">Any incremental color on Caesars-Fertitta and MGM-Diller</w:t>
      </w:r>
      <w:r>
        <w:t xml:space="preserve"> </w:t>
      </w:r>
      <w:r>
        <w:t xml:space="preserve">— timeline to close, financing structure, leverage assumptions, and whether either process could touch lease terms or trigger change-of-control provisions.</w:t>
      </w:r>
    </w:p>
    <w:p>
      <w:pPr>
        <w:pStyle w:val="Compact"/>
        <w:numPr>
          <w:ilvl w:val="0"/>
          <w:numId w:val="1004"/>
        </w:numPr>
      </w:pPr>
      <w:r>
        <w:rPr>
          <w:b/>
          <w:bCs/>
        </w:rPr>
        <w:t xml:space="preserve">Guidance cadence</w:t>
      </w:r>
      <w:r>
        <w:t xml:space="preserve"> </w:t>
      </w:r>
      <w:r>
        <w:t xml:space="preserve">— does management raise full-year AFFO guidance again (as it did every quarter in 2025 and at Q1 2026) now that Golden Entertainment and Gamehost are closing, or does it hold steady pending clarity on the two large tenant processes?</w:t>
      </w:r>
    </w:p>
    <w:p>
      <w:pPr>
        <w:pStyle w:val="Compact"/>
        <w:numPr>
          <w:ilvl w:val="0"/>
          <w:numId w:val="1004"/>
        </w:numPr>
      </w:pPr>
      <w:r>
        <w:rPr>
          <w:b/>
          <w:bCs/>
        </w:rPr>
        <w:t xml:space="preserve">Updates on the Venetian Partner Property Growth Fund, One Beverly Hills venture structure, and any new tenant/vertical announcements</w:t>
      </w:r>
      <w:r>
        <w:t xml:space="preserve"> </w:t>
      </w:r>
      <w:r>
        <w:t xml:space="preserve">(sports infrastructure, additional non-gaming deals).</w:t>
      </w:r>
    </w:p>
    <w:p>
      <w:pPr>
        <w:pStyle w:val="Compact"/>
        <w:numPr>
          <w:ilvl w:val="0"/>
          <w:numId w:val="1004"/>
        </w:numPr>
      </w:pPr>
      <w:r>
        <w:rPr>
          <w:b/>
          <w:bCs/>
        </w:rPr>
        <w:t xml:space="preserve">Century Casinos</w:t>
      </w:r>
      <w:r>
        <w:t xml:space="preserve"> </w:t>
      </w:r>
      <w:r>
        <w:t xml:space="preserve">strategic review status and any read-through for VICI's smaller regional tenants.</w:t>
      </w:r>
    </w:p>
    <w:p>
      <w:pPr>
        <w:pStyle w:val="Compact"/>
        <w:numPr>
          <w:ilvl w:val="0"/>
          <w:numId w:val="1004"/>
        </w:numPr>
      </w:pPr>
      <w:r>
        <w:rPr>
          <w:b/>
          <w:bCs/>
        </w:rPr>
        <w:t xml:space="preserve">Refinancing plans</w:t>
      </w:r>
      <w:r>
        <w:t xml:space="preserve"> </w:t>
      </w:r>
      <w:r>
        <w:t xml:space="preserve">for 2026 unsecured note maturities and further use of forward-starting swaps or alternative capital pools (private credit/insurance capital, as flagged on the Q1 call).</w:t>
      </w:r>
    </w:p>
    <w:p>
      <w:pPr>
        <w:pStyle w:val="Compact"/>
        <w:numPr>
          <w:ilvl w:val="0"/>
          <w:numId w:val="1004"/>
        </w:numPr>
      </w:pPr>
      <w:r>
        <w:rPr>
          <w:b/>
          <w:bCs/>
        </w:rPr>
        <w:t xml:space="preserve">Dividend signaling</w:t>
      </w:r>
      <w:r>
        <w:t xml:space="preserve"> </w:t>
      </w:r>
      <w:r>
        <w:t xml:space="preserve">ahead of the typical Q3 increase announcement.</w:t>
      </w:r>
    </w:p>
    <w:bookmarkEnd w:id="15"/>
    <w:bookmarkStart w:id="16" w:name="bottom-line"/>
    <w:p>
      <w:pPr>
        <w:pStyle w:val="Heading2"/>
      </w:pPr>
      <w:r>
        <w:t xml:space="preserve">Bottom Line</w:t>
      </w:r>
    </w:p>
    <w:p>
      <w:pPr>
        <w:pStyle w:val="FirstParagraph"/>
      </w:pPr>
      <w:r>
        <w:t xml:space="preserve">Fundamentally, VICI's Q2 should look like another steady, on-plan quarter for a triple-net REIT with contractual, escalator-driven rent growth — bolstered by a full quarter's contribution from the Golden Entertainment and Gamehost acquisitions. The swing factor for the stock is not the numbers themselves but management's tone on the unprecedented simultaneous take-private processes at its two largest tenants, which together represent roughly 70% of rent. Clarity (or lack thereof) on those fronts, more than the AFFO beat/miss itself, is likely to drive the post-earnings stock reaction.</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2026-07-29T02:14:45Z</dcterms:created>
  <dcterms:modified xsi:type="dcterms:W3CDTF">2026-07-29T02:14:45Z</dcterms:modified>
</cp:coreProperties>
</file>

<file path=docProps/custom.xml><?xml version="1.0" encoding="utf-8"?>
<Properties xmlns="http://schemas.openxmlformats.org/officeDocument/2006/custom-properties" xmlns:vt="http://schemas.openxmlformats.org/officeDocument/2006/docPropsVTypes"/>
</file>