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vici-properties-q2-2026-earnings-preview"/>
    <w:p>
      <w:pPr>
        <w:pStyle w:val="Heading1"/>
      </w:pPr>
      <w:r>
        <w:t xml:space="preserve">VICI Properties Q2 2026 Earnings Preview</w:t>
      </w:r>
    </w:p>
    <w:p>
      <w:pPr>
        <w:pStyle w:val="BlockText"/>
      </w:pPr>
      <w:r>
        <w:rPr>
          <w:b/>
          <w:bCs/>
        </w:rPr>
        <w:t xml:space="preserve">Timing clarification:</w:t>
      </w:r>
      <w:r>
        <w:t xml:space="preserve"> </w:t>
      </w:r>
      <w:r>
        <w:t xml:space="preserve">VICI is scheduled to release Q2 results</w:t>
      </w:r>
      <w:r>
        <w:t xml:space="preserve"> </w:t>
      </w:r>
      <w:r>
        <w:rPr>
          <w:b/>
          <w:bCs/>
        </w:rPr>
        <w:t xml:space="preserve">today, July 29, 2026, after the market closes</w:t>
      </w:r>
      <w:r>
        <w:t xml:space="preserve">. The earnings call is</w:t>
      </w:r>
      <w:r>
        <w:t xml:space="preserve"> </w:t>
      </w:r>
      <w:r>
        <w:rPr>
          <w:b/>
          <w:bCs/>
        </w:rPr>
        <w:t xml:space="preserve">tomorrow, July 30, at 10:00 a.m. ET</w:t>
      </w:r>
      <w:r>
        <w:t xml:space="preserve">. (</w:t>
      </w:r>
      <w:hyperlink r:id="rId9">
        <w:r>
          <w:rPr>
            <w:rStyle w:val="Hyperlink"/>
          </w:rPr>
          <w:t xml:space="preserve">investors.viciproperties.com</w:t>
        </w:r>
      </w:hyperlink>
      <w:r>
        <w:t xml:space="preserve">)</w:t>
      </w:r>
    </w:p>
    <w:bookmarkStart w:id="11" w:name="investment-setup"/>
    <w:p>
      <w:pPr>
        <w:pStyle w:val="Heading2"/>
      </w:pPr>
      <w:r>
        <w:t xml:space="preserve">Investment setup</w:t>
      </w:r>
    </w:p>
    <w:p>
      <w:pPr>
        <w:pStyle w:val="FirstParagraph"/>
      </w:pPr>
      <w:r>
        <w:t xml:space="preserve">VICI enters the report with a dependable underlying earnings profile but several moving pieces from acquisitions, development financing, and capital allocation.</w:t>
      </w:r>
    </w:p>
    <w:p>
      <w:pPr>
        <w:pStyle w:val="BodyText"/>
      </w:pPr>
      <w:r>
        <w:t xml:space="preserve">The company generated</w:t>
      </w:r>
      <w:r>
        <w:t xml:space="preserve"> </w:t>
      </w:r>
      <m:oMath>
        <m:r>
          <m:t>0.61</m:t>
        </m:r>
        <m:r>
          <m:t>o</m:t>
        </m:r>
        <m:r>
          <m:t>f</m:t>
        </m:r>
        <m:r>
          <m:t>A</m:t>
        </m:r>
        <m:r>
          <m:t>F</m:t>
        </m:r>
        <m:r>
          <m:t>F</m:t>
        </m:r>
        <m:r>
          <m:t>O</m:t>
        </m:r>
        <m:r>
          <m:t>p</m:t>
        </m:r>
        <m:r>
          <m:t>e</m:t>
        </m:r>
        <m:r>
          <m:t>r</m:t>
        </m:r>
        <m:r>
          <m:t>s</m:t>
        </m:r>
        <m:r>
          <m:t>h</m:t>
        </m:r>
        <m:r>
          <m:t>a</m:t>
        </m:r>
        <m:r>
          <m:t>r</m:t>
        </m:r>
        <m:r>
          <m:t>e</m:t>
        </m:r>
        <m:r>
          <m:t>i</m:t>
        </m:r>
        <m:r>
          <m:t>n</m:t>
        </m:r>
        <m:r>
          <m:t>Q</m:t>
        </m:r>
        <m:r>
          <m:t>1</m:t>
        </m:r>
        <m:r>
          <m:rPr>
            <m:sty m:val="p"/>
          </m:rPr>
          <m:t>*</m:t>
        </m:r>
        <m:r>
          <m:rPr>
            <m:sty m:val="p"/>
          </m:rPr>
          <m:t>*</m:t>
        </m:r>
        <m:r>
          <m:rPr>
            <m:sty m:val="p"/>
          </m:rPr>
          <m:t>,</m:t>
        </m:r>
        <m:r>
          <m:t>u</m:t>
        </m:r>
        <m:r>
          <m:t>p</m:t>
        </m:r>
        <m:r>
          <m:t>4.5</m:t>
        </m:r>
      </m:oMath>
      <w:r>
        <w:rPr>
          <w:b/>
          <w:bCs/>
        </w:rPr>
        <w:t xml:space="preserve">2.44–</w:t>
      </w:r>
      <m:oMath>
        <m:r>
          <m:t>2.47</m:t>
        </m:r>
        <m:r>
          <m:rPr>
            <m:sty m:val="p"/>
          </m:rPr>
          <m:t>*</m:t>
        </m:r>
        <m:r>
          <m:rPr>
            <m:sty m:val="p"/>
          </m:rPr>
          <m:t>*</m:t>
        </m:r>
        <m:r>
          <m:rPr>
            <m:sty m:val="p"/>
          </m:rPr>
          <m:t>.</m:t>
        </m:r>
        <m:r>
          <m:t>T</m:t>
        </m:r>
        <m:r>
          <m:t>h</m:t>
        </m:r>
        <m:r>
          <m:t>a</m:t>
        </m:r>
        <m:r>
          <m:t>t</m:t>
        </m:r>
        <m:r>
          <m:t>g</m:t>
        </m:r>
        <m:r>
          <m:t>u</m:t>
        </m:r>
        <m:r>
          <m:t>i</m:t>
        </m:r>
        <m:r>
          <m:t>d</m:t>
        </m:r>
        <m:r>
          <m:t>a</m:t>
        </m:r>
        <m:r>
          <m:t>n</m:t>
        </m:r>
        <m:r>
          <m:t>c</m:t>
        </m:r>
        <m:r>
          <m:t>e</m:t>
        </m:r>
        <m:r>
          <m:rPr>
            <m:sty m:val="p"/>
          </m:rPr>
          <m:t>,</m:t>
        </m:r>
        <m:r>
          <m:t>a</m:t>
        </m:r>
        <m:r>
          <m:t>f</m:t>
        </m:r>
        <m:r>
          <m:t>t</m:t>
        </m:r>
        <m:r>
          <m:t>e</m:t>
        </m:r>
        <m:r>
          <m:t>r</m:t>
        </m:r>
        <m:r>
          <m:t>s</m:t>
        </m:r>
        <m:r>
          <m:t>u</m:t>
        </m:r>
        <m:r>
          <m:t>b</m:t>
        </m:r>
        <m:r>
          <m:t>t</m:t>
        </m:r>
        <m:r>
          <m:t>r</m:t>
        </m:r>
        <m:r>
          <m:t>a</m:t>
        </m:r>
        <m:r>
          <m:t>c</m:t>
        </m:r>
        <m:r>
          <m:t>t</m:t>
        </m:r>
        <m:r>
          <m:t>i</m:t>
        </m:r>
        <m:r>
          <m:t>n</m:t>
        </m:r>
        <m:r>
          <m:t>g</m:t>
        </m:r>
        <m:r>
          <m:t>Q</m:t>
        </m:r>
        <m:r>
          <m:t>1</m:t>
        </m:r>
        <m:r>
          <m:rPr>
            <m:sty m:val="p"/>
          </m:rPr>
          <m:t>,</m:t>
        </m:r>
        <m:r>
          <m:t>i</m:t>
        </m:r>
        <m:r>
          <m:t>m</m:t>
        </m:r>
        <m:r>
          <m:t>p</m:t>
        </m:r>
        <m:r>
          <m:t>l</m:t>
        </m:r>
        <m:r>
          <m:t>i</m:t>
        </m:r>
        <m:r>
          <m:t>e</m:t>
        </m:r>
        <m:r>
          <m:t>s</m:t>
        </m:r>
        <m:r>
          <m:t>a</m:t>
        </m:r>
        <m:r>
          <m:t>n</m:t>
        </m:r>
        <m:r>
          <m:t>a</m:t>
        </m:r>
        <m:r>
          <m:t>v</m:t>
        </m:r>
        <m:r>
          <m:t>e</m:t>
        </m:r>
        <m:r>
          <m:t>r</m:t>
        </m:r>
        <m:r>
          <m:t>a</m:t>
        </m:r>
        <m:r>
          <m:t>g</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0.61–</w:t>
      </w:r>
      <m:oMath>
        <m:r>
          <m:t>0.62</m:t>
        </m:r>
        <m:r>
          <m:t>p</m:t>
        </m:r>
        <m:r>
          <m:t>e</m:t>
        </m:r>
        <m:r>
          <m:t>r</m:t>
        </m:r>
        <m:r>
          <m:t>s</m:t>
        </m:r>
        <m:r>
          <m:t>h</m:t>
        </m:r>
        <m:r>
          <m:t>a</m:t>
        </m:r>
        <m:r>
          <m:t>r</m:t>
        </m:r>
        <m:r>
          <m:t>e</m:t>
        </m:r>
        <m:r>
          <m:t>o</m:t>
        </m:r>
        <m:r>
          <m:t>v</m:t>
        </m:r>
        <m:r>
          <m:t>e</m:t>
        </m:r>
        <m:r>
          <m:t>r</m:t>
        </m:r>
        <m:r>
          <m:t>t</m:t>
        </m:r>
        <m:r>
          <m:t>h</m:t>
        </m:r>
        <m:r>
          <m:t>e</m:t>
        </m:r>
        <m:r>
          <m:t>f</m:t>
        </m:r>
        <m:r>
          <m:t>i</m:t>
        </m:r>
        <m:r>
          <m:t>n</m:t>
        </m:r>
        <m:r>
          <m:t>a</m:t>
        </m:r>
        <m:r>
          <m:t>l</m:t>
        </m:r>
        <m:r>
          <m:t>t</m:t>
        </m:r>
        <m:r>
          <m:t>h</m:t>
        </m:r>
        <m:r>
          <m:t>r</m:t>
        </m:r>
        <m:r>
          <m:t>e</m:t>
        </m:r>
        <m:r>
          <m:t>e</m:t>
        </m:r>
        <m:r>
          <m:t>q</m:t>
        </m:r>
        <m:r>
          <m:t>u</m:t>
        </m:r>
        <m:r>
          <m:t>a</m:t>
        </m:r>
        <m:r>
          <m:t>r</m:t>
        </m:r>
        <m:r>
          <m:t>t</m:t>
        </m:r>
        <m:r>
          <m:t>e</m:t>
        </m:r>
        <m:r>
          <m:t>r</m:t>
        </m:r>
        <m:r>
          <m:t>s</m:t>
        </m:r>
        <m:r>
          <m:rPr>
            <m:sty m:val="p"/>
          </m:rPr>
          <m:t>*</m:t>
        </m:r>
        <m:r>
          <m:rPr>
            <m:sty m:val="p"/>
          </m:rPr>
          <m:t>*</m:t>
        </m:r>
        <m:r>
          <m:rPr>
            <m:sty m:val="p"/>
          </m:rPr>
          <m:t>.</m:t>
        </m:r>
        <m:r>
          <m:t>C</m:t>
        </m:r>
        <m:r>
          <m:t>o</m:t>
        </m:r>
        <m:r>
          <m:t>n</m:t>
        </m:r>
        <m:r>
          <m:t>s</m:t>
        </m:r>
        <m:r>
          <m:t>e</m:t>
        </m:r>
        <m:r>
          <m:t>q</m:t>
        </m:r>
        <m:r>
          <m:t>u</m:t>
        </m:r>
        <m:r>
          <m:t>e</m:t>
        </m:r>
        <m:r>
          <m:t>n</m:t>
        </m:r>
        <m:r>
          <m:t>t</m:t>
        </m:r>
        <m:r>
          <m:t>l</m:t>
        </m:r>
        <m:r>
          <m:t>y</m:t>
        </m:r>
        <m:r>
          <m:rPr>
            <m:sty m:val="p"/>
          </m:rPr>
          <m:t>,</m:t>
        </m:r>
        <m:r>
          <m:t>r</m:t>
        </m:r>
        <m:r>
          <m:t>o</m:t>
        </m:r>
        <m:r>
          <m:t>u</m:t>
        </m:r>
        <m:r>
          <m:t>g</m:t>
        </m:r>
        <m:r>
          <m:t>h</m:t>
        </m:r>
        <m:r>
          <m:t>l</m:t>
        </m:r>
        <m:r>
          <m:t>y</m:t>
        </m:r>
        <m:r>
          <m:rPr>
            <m:sty m:val="p"/>
          </m:rPr>
          <m:t>*</m:t>
        </m:r>
        <m:r>
          <m:rPr>
            <m:sty m:val="p"/>
          </m:rPr>
          <m:t>*</m:t>
        </m:r>
      </m:oMath>
      <w:r>
        <w:rPr>
          <w:b/>
          <w:bCs/>
        </w:rPr>
        <w:t xml:space="preserve">0.61–$0.62 of Q2 AFFO per share</w:t>
      </w:r>
      <w:r>
        <w:t xml:space="preserve"> </w:t>
      </w:r>
      <w:r>
        <w:t xml:space="preserve">is the practical earnings bar, regardless of potentially volatile GAAP EPS. VICI’s GAAP earnings can move sharply with noncash changes in its current expected credit-loss allowance, making AFFO the cleaner measure of operating performance. (</w:t>
      </w:r>
      <w:hyperlink r:id="rId10">
        <w:r>
          <w:rPr>
            <w:rStyle w:val="Hyperlink"/>
          </w:rPr>
          <w:t xml:space="preserve">investors.viciproperties.com</w:t>
        </w:r>
      </w:hyperlink>
      <w:r>
        <w:t xml:space="preserve">)</w:t>
      </w:r>
    </w:p>
    <w:p>
      <w:pPr>
        <w:pStyle w:val="BodyText"/>
      </w:pPr>
      <w:r>
        <w:t xml:space="preserve">The shares closed at</w:t>
      </w:r>
      <w:r>
        <w:t xml:space="preserve"> </w:t>
      </w:r>
      <w:r>
        <w:rPr>
          <w:b/>
          <w:bCs/>
        </w:rPr>
        <w:t xml:space="preserve">$27.11 on July 28</w:t>
      </w:r>
      <w:r>
        <w:t xml:space="preserve">, down approximately 5% from the April 29 close. At that price, VICI trades at roughly</w:t>
      </w:r>
      <w:r>
        <w:t xml:space="preserve"> </w:t>
      </w:r>
      <w:r>
        <w:rPr>
          <w:b/>
          <w:bCs/>
        </w:rPr>
        <w:t xml:space="preserve">11 times the midpoint of 2026 AFFO guidance</w:t>
      </w:r>
      <w:r>
        <w:t xml:space="preserve">, with a dividend yield of about</w:t>
      </w:r>
      <w:r>
        <w:t xml:space="preserve"> </w:t>
      </w:r>
      <w:r>
        <w:rPr>
          <w:b/>
          <w:bCs/>
        </w:rPr>
        <w:t xml:space="preserve">6.6%</w:t>
      </w:r>
      <w:r>
        <w:t xml:space="preserve"> </w:t>
      </w:r>
      <w:r>
        <w:t xml:space="preserve">based on the current $1.80 annualized dividend. The valuation already reflects concerns about interest rates, tenant concentration, and the company’s cost of equity.</w:t>
      </w:r>
    </w:p>
    <w:bookmarkEnd w:id="11"/>
    <w:bookmarkStart w:id="19" w:name="what-should-drive-q2"/>
    <w:p>
      <w:pPr>
        <w:pStyle w:val="Heading2"/>
      </w:pPr>
      <w:r>
        <w:t xml:space="preserve">What should drive Q2</w:t>
      </w:r>
    </w:p>
    <w:bookmarkStart w:id="13" w:name="X4877801a932c88d8c966fa7414f63e5e9d312ea"/>
    <w:p>
      <w:pPr>
        <w:pStyle w:val="Heading3"/>
      </w:pPr>
      <w:r>
        <w:t xml:space="preserve">1. Golden Entertainment closes, but share issuance offsets some earnings growth</w:t>
      </w:r>
    </w:p>
    <w:p>
      <w:pPr>
        <w:pStyle w:val="FirstParagraph"/>
      </w:pPr>
      <w:r>
        <w:t xml:space="preserve">VICI completed its</w:t>
      </w:r>
      <w:r>
        <w:t xml:space="preserve"> </w:t>
      </w:r>
      <m:oMath>
        <m:r>
          <m:t>1.16</m:t>
        </m:r>
        <m:r>
          <m:t>b</m:t>
        </m:r>
        <m:r>
          <m:t>i</m:t>
        </m:r>
        <m:r>
          <m:t>l</m:t>
        </m:r>
        <m:r>
          <m:t>l</m:t>
        </m:r>
        <m:r>
          <m:t>i</m:t>
        </m:r>
        <m:r>
          <m:t>o</m:t>
        </m:r>
        <m:r>
          <m:t>n</m:t>
        </m:r>
        <m:r>
          <m:t>a</m:t>
        </m:r>
        <m:r>
          <m:t>c</m:t>
        </m:r>
        <m:r>
          <m:t>q</m:t>
        </m:r>
        <m:r>
          <m:t>u</m:t>
        </m:r>
        <m:r>
          <m:t>i</m:t>
        </m:r>
        <m:r>
          <m:t>s</m:t>
        </m:r>
        <m:r>
          <m:t>i</m:t>
        </m:r>
        <m:r>
          <m:t>t</m:t>
        </m:r>
        <m:r>
          <m:t>i</m:t>
        </m:r>
        <m:r>
          <m:t>o</m:t>
        </m:r>
        <m:r>
          <m:t>n</m:t>
        </m:r>
        <m:r>
          <m:t>o</m:t>
        </m:r>
        <m:r>
          <m:t>f</m:t>
        </m:r>
        <m:r>
          <m:t>s</m:t>
        </m:r>
        <m:r>
          <m:t>e</m:t>
        </m:r>
        <m:r>
          <m:t>v</m:t>
        </m:r>
        <m:r>
          <m:t>e</m:t>
        </m:r>
        <m:r>
          <m:t>n</m:t>
        </m:r>
        <m:r>
          <m:t>G</m:t>
        </m:r>
        <m:r>
          <m:t>o</m:t>
        </m:r>
        <m:r>
          <m:t>l</m:t>
        </m:r>
        <m:r>
          <m:t>d</m:t>
        </m:r>
        <m:r>
          <m:t>e</m:t>
        </m:r>
        <m:r>
          <m:t>n</m:t>
        </m:r>
        <m:r>
          <m:t>E</m:t>
        </m:r>
        <m:r>
          <m:t>n</m:t>
        </m:r>
        <m:r>
          <m:t>t</m:t>
        </m:r>
        <m:r>
          <m:t>e</m:t>
        </m:r>
        <m:r>
          <m:t>r</m:t>
        </m:r>
        <m:r>
          <m:t>t</m:t>
        </m:r>
        <m:r>
          <m:t>a</m:t>
        </m:r>
        <m:r>
          <m:t>i</m:t>
        </m:r>
        <m:r>
          <m:t>n</m:t>
        </m:r>
        <m:r>
          <m:t>m</m:t>
        </m:r>
        <m:r>
          <m:t>e</m:t>
        </m:r>
        <m:r>
          <m:t>n</m:t>
        </m:r>
        <m:r>
          <m:t>t</m:t>
        </m:r>
        <m:r>
          <m:t>p</m:t>
        </m:r>
        <m:r>
          <m:t>r</m:t>
        </m:r>
        <m:r>
          <m:t>o</m:t>
        </m:r>
        <m:r>
          <m:t>p</m:t>
        </m:r>
        <m:r>
          <m:t>e</m:t>
        </m:r>
        <m:r>
          <m:t>r</m:t>
        </m:r>
        <m:r>
          <m:t>t</m:t>
        </m:r>
        <m:r>
          <m:t>i</m:t>
        </m:r>
        <m:r>
          <m:t>e</m:t>
        </m:r>
        <m:r>
          <m:t>s</m:t>
        </m:r>
        <m:r>
          <m:t>o</m:t>
        </m:r>
        <m:r>
          <m:t>n</m:t>
        </m:r>
        <m:r>
          <m:t>A</m:t>
        </m:r>
        <m:r>
          <m:t>p</m:t>
        </m:r>
        <m:r>
          <m:t>r</m:t>
        </m:r>
        <m:r>
          <m:t>i</m:t>
        </m:r>
        <m:r>
          <m:t>l</m:t>
        </m:r>
        <m:r>
          <m:t>30</m:t>
        </m:r>
        <m:r>
          <m:rPr>
            <m:sty m:val="p"/>
          </m:rPr>
          <m:t>*</m:t>
        </m:r>
        <m:r>
          <m:rPr>
            <m:sty m:val="p"/>
          </m:rPr>
          <m:t>*</m:t>
        </m:r>
        <m:r>
          <m:rPr>
            <m:sty m:val="p"/>
          </m:rPr>
          <m:t>.</m:t>
        </m:r>
        <m:r>
          <m:t>T</m:t>
        </m:r>
        <m:r>
          <m:t>h</m:t>
        </m:r>
        <m:r>
          <m:t>e</m:t>
        </m:r>
        <m:r>
          <m:t>n</m:t>
        </m:r>
        <m:r>
          <m:t>e</m:t>
        </m:r>
        <m:r>
          <m:t>w</m:t>
        </m:r>
        <m:r>
          <m:t>m</m:t>
        </m:r>
        <m:r>
          <m:t>a</m:t>
        </m:r>
        <m:r>
          <m:t>s</m:t>
        </m:r>
        <m:r>
          <m:t>t</m:t>
        </m:r>
        <m:r>
          <m:t>e</m:t>
        </m:r>
        <m:r>
          <m:t>r</m:t>
        </m:r>
        <m:r>
          <m:t>l</m:t>
        </m:r>
        <m:r>
          <m:t>e</m:t>
        </m:r>
        <m:r>
          <m:t>a</m:t>
        </m:r>
        <m:r>
          <m:t>s</m:t>
        </m:r>
        <m:r>
          <m:t>e</m:t>
        </m:r>
        <m:r>
          <m:t>c</m:t>
        </m:r>
        <m:r>
          <m:t>a</m:t>
        </m:r>
        <m:r>
          <m:t>r</m:t>
        </m:r>
        <m:r>
          <m:t>r</m:t>
        </m:r>
        <m:r>
          <m:t>i</m:t>
        </m:r>
        <m:r>
          <m:t>e</m:t>
        </m:r>
        <m:r>
          <m:t>s</m:t>
        </m:r>
        <m:r>
          <m:rPr>
            <m:sty m:val="p"/>
          </m:rPr>
          <m:t>*</m:t>
        </m:r>
        <m:r>
          <m:rPr>
            <m:sty m:val="p"/>
          </m:rPr>
          <m:t>*</m:t>
        </m:r>
      </m:oMath>
      <w:r>
        <w:rPr>
          <w:b/>
          <w:bCs/>
        </w:rPr>
        <w:t xml:space="preserve">87 million of initial annual rent</w:t>
      </w:r>
      <w:r>
        <w:t xml:space="preserve">, implying a 7.5% acquisition yield. Therefore, Q2 should contain approximately two months of Golden rent.</w:t>
      </w:r>
    </w:p>
    <w:p>
      <w:pPr>
        <w:pStyle w:val="BodyText"/>
      </w:pPr>
      <w:r>
        <w:t xml:space="preserve">The transaction also added</w:t>
      </w:r>
      <w:r>
        <w:t xml:space="preserve"> </w:t>
      </w:r>
      <w:r>
        <w:rPr>
          <w:b/>
          <w:bCs/>
        </w:rPr>
        <w:t xml:space="preserve">24.3 million VICI shares</w:t>
      </w:r>
      <w:r>
        <w:t xml:space="preserve">, while VICI settled another 7.75 million forward shares immediately before closing. This means total AFFO dollars should rise more visibly than AFFO per share. Investors should not interpret a sequentially flat per-share result as evidence that the acquisition failed to contribute. (</w:t>
      </w:r>
      <w:hyperlink r:id="rId12">
        <w:r>
          <w:rPr>
            <w:rStyle w:val="Hyperlink"/>
          </w:rPr>
          <w:t xml:space="preserve">investors.viciproperties.com</w:t>
        </w:r>
      </w:hyperlink>
      <w:r>
        <w:t xml:space="preserve">)</w:t>
      </w:r>
    </w:p>
    <w:p>
      <w:pPr>
        <w:pStyle w:val="BodyText"/>
      </w:pPr>
      <w:r>
        <w:rPr>
          <w:b/>
          <w:bCs/>
        </w:rPr>
        <w:t xml:space="preserve">What to watch:</w:t>
      </w:r>
    </w:p>
    <w:p>
      <w:pPr>
        <w:pStyle w:val="Compact"/>
        <w:numPr>
          <w:ilvl w:val="0"/>
          <w:numId w:val="1001"/>
        </w:numPr>
      </w:pPr>
      <w:r>
        <w:t xml:space="preserve">Initial performance and rent coverage of the Golden portfolio</w:t>
      </w:r>
    </w:p>
    <w:p>
      <w:pPr>
        <w:pStyle w:val="Compact"/>
        <w:numPr>
          <w:ilvl w:val="0"/>
          <w:numId w:val="1001"/>
        </w:numPr>
      </w:pPr>
      <w:r>
        <w:t xml:space="preserve">Pro forma leverage following the acquisition</w:t>
      </w:r>
    </w:p>
    <w:p>
      <w:pPr>
        <w:pStyle w:val="Compact"/>
        <w:numPr>
          <w:ilvl w:val="0"/>
          <w:numId w:val="1001"/>
        </w:numPr>
      </w:pPr>
      <w:r>
        <w:t xml:space="preserve">Any early opportunities to fund growth at Golden’s Nevada casinos</w:t>
      </w:r>
    </w:p>
    <w:p>
      <w:pPr>
        <w:pStyle w:val="Compact"/>
        <w:numPr>
          <w:ilvl w:val="0"/>
          <w:numId w:val="1001"/>
        </w:numPr>
      </w:pPr>
      <w:r>
        <w:t xml:space="preserve">Whether management still characterizes the transaction as accretive after updated financing assumptions</w:t>
      </w:r>
    </w:p>
    <w:bookmarkEnd w:id="13"/>
    <w:bookmarkStart w:id="14" w:name="X3e2e900d27a6775c56cd9b13a41def17a8a363c"/>
    <w:p>
      <w:pPr>
        <w:pStyle w:val="Heading3"/>
      </w:pPr>
      <w:r>
        <w:t xml:space="preserve">2. One Beverly Hills should provide a full-quarter contribution</w:t>
      </w:r>
    </w:p>
    <w:p>
      <w:pPr>
        <w:pStyle w:val="FirstParagraph"/>
      </w:pPr>
      <w:r>
        <w:t xml:space="preserve">In March, VICI expanded its One Beverly Hills mezzanine financing commitment to</w:t>
      </w:r>
      <w:r>
        <w:t xml:space="preserve"> </w:t>
      </w:r>
      <w:r>
        <w:rPr>
          <w:b/>
          <w:bCs/>
        </w:rPr>
        <w:t xml:space="preserve">$1.5 billion</w:t>
      </w:r>
      <w:r>
        <w:t xml:space="preserve">, including an initial $650 million deployment. Q2 should be the first full quarter with interest income from that initial funding.</w:t>
      </w:r>
    </w:p>
    <w:p>
      <w:pPr>
        <w:pStyle w:val="BodyText"/>
      </w:pPr>
      <w:r>
        <w:t xml:space="preserve">The broader question is whether VICI’s increasingly large loan and development-financing book is creating durable relationship-driven growth or introducing more construction and repayment risk. At the end of Q1, loans and securities represented a principal balance of approximately</w:t>
      </w:r>
      <w:r>
        <w:t xml:space="preserve"> </w:t>
      </w:r>
      <w:r>
        <w:rPr>
          <w:b/>
          <w:bCs/>
        </w:rPr>
        <w:t xml:space="preserve">$2.8 billion</w:t>
      </w:r>
      <w:r>
        <w:t xml:space="preserve">, with a 9.2% blended contractual interest rate.</w:t>
      </w:r>
    </w:p>
    <w:p>
      <w:pPr>
        <w:pStyle w:val="BodyText"/>
      </w:pPr>
      <w:r>
        <w:t xml:space="preserve">Important disclosures would include:</w:t>
      </w:r>
    </w:p>
    <w:p>
      <w:pPr>
        <w:pStyle w:val="Compact"/>
        <w:numPr>
          <w:ilvl w:val="0"/>
          <w:numId w:val="1002"/>
        </w:numPr>
      </w:pPr>
      <w:r>
        <w:t xml:space="preserve">The One Beverly Hills balance funded at quarter-end</w:t>
      </w:r>
    </w:p>
    <w:p>
      <w:pPr>
        <w:pStyle w:val="Compact"/>
        <w:numPr>
          <w:ilvl w:val="0"/>
          <w:numId w:val="1002"/>
        </w:numPr>
      </w:pPr>
      <w:r>
        <w:t xml:space="preserve">Incremental draws expected during the second half</w:t>
      </w:r>
    </w:p>
    <w:p>
      <w:pPr>
        <w:pStyle w:val="Compact"/>
        <w:numPr>
          <w:ilvl w:val="0"/>
          <w:numId w:val="1002"/>
        </w:numPr>
      </w:pPr>
      <w:r>
        <w:t xml:space="preserve">The effective yield after fees and noncash accounting</w:t>
      </w:r>
    </w:p>
    <w:p>
      <w:pPr>
        <w:pStyle w:val="Compact"/>
        <w:numPr>
          <w:ilvl w:val="0"/>
          <w:numId w:val="1002"/>
        </w:numPr>
      </w:pPr>
      <w:r>
        <w:t xml:space="preserve">Loan-book concentration and credit protections</w:t>
      </w:r>
    </w:p>
    <w:p>
      <w:pPr>
        <w:pStyle w:val="Compact"/>
        <w:numPr>
          <w:ilvl w:val="0"/>
          <w:numId w:val="1002"/>
        </w:numPr>
      </w:pPr>
      <w:r>
        <w:t xml:space="preserve">Management’s plan to redeploy capital when these loans mature</w:t>
      </w:r>
    </w:p>
    <w:bookmarkEnd w:id="14"/>
    <w:bookmarkStart w:id="16" w:name="X753cf19f0cf7cb46c0477fb942551e46b1a4c24"/>
    <w:p>
      <w:pPr>
        <w:pStyle w:val="Heading3"/>
      </w:pPr>
      <w:r>
        <w:t xml:space="preserve">3. PURE/Gamehost adds only a small Q2 contribution</w:t>
      </w:r>
    </w:p>
    <w:p>
      <w:pPr>
        <w:pStyle w:val="FirstParagraph"/>
      </w:pPr>
      <w:r>
        <w:t xml:space="preserve">On June 24, VICI completed its</w:t>
      </w:r>
      <w:r>
        <w:t xml:space="preserve"> </w:t>
      </w:r>
      <m:oMath>
        <m:r>
          <m:t>144.4</m:t>
        </m:r>
        <m:r>
          <m:t>m</m:t>
        </m:r>
        <m:r>
          <m:t>i</m:t>
        </m:r>
        <m:r>
          <m:t>l</m:t>
        </m:r>
        <m:r>
          <m:t>l</m:t>
        </m:r>
        <m:r>
          <m:t>i</m:t>
        </m:r>
        <m:r>
          <m:t>o</m:t>
        </m:r>
        <m:r>
          <m:t>n</m:t>
        </m:r>
        <m:r>
          <m:t>a</m:t>
        </m:r>
        <m:r>
          <m:t>c</m:t>
        </m:r>
        <m:r>
          <m:t>q</m:t>
        </m:r>
        <m:r>
          <m:t>u</m:t>
        </m:r>
        <m:r>
          <m:t>i</m:t>
        </m:r>
        <m:r>
          <m:t>s</m:t>
        </m:r>
        <m:r>
          <m:t>i</m:t>
        </m:r>
        <m:r>
          <m:t>t</m:t>
        </m:r>
        <m:r>
          <m:t>i</m:t>
        </m:r>
        <m:r>
          <m:t>o</m:t>
        </m:r>
        <m:r>
          <m:t>n</m:t>
        </m:r>
        <m:r>
          <m:t>o</m:t>
        </m:r>
        <m:r>
          <m:t>f</m:t>
        </m:r>
        <m:r>
          <m:t>t</m:t>
        </m:r>
        <m:r>
          <m:t>h</m:t>
        </m:r>
        <m:r>
          <m:t>e</m:t>
        </m:r>
        <m:r>
          <m:t>G</m:t>
        </m:r>
        <m:r>
          <m:t>a</m:t>
        </m:r>
        <m:r>
          <m:t>m</m:t>
        </m:r>
        <m:r>
          <m:t>e</m:t>
        </m:r>
        <m:r>
          <m:t>h</m:t>
        </m:r>
        <m:r>
          <m:t>o</m:t>
        </m:r>
        <m:r>
          <m:t>s</m:t>
        </m:r>
        <m:r>
          <m:t>t</m:t>
        </m:r>
        <m:r>
          <m:t>p</m:t>
        </m:r>
        <m:r>
          <m:t>o</m:t>
        </m:r>
        <m:r>
          <m:t>r</m:t>
        </m:r>
        <m:r>
          <m:t>t</m:t>
        </m:r>
        <m:r>
          <m:t>f</m:t>
        </m:r>
        <m:r>
          <m:t>o</m:t>
        </m:r>
        <m:r>
          <m:t>l</m:t>
        </m:r>
        <m:r>
          <m:t>i</m:t>
        </m:r>
        <m:r>
          <m:t>o</m:t>
        </m:r>
        <m:r>
          <m:t>i</m:t>
        </m:r>
        <m:r>
          <m:t>n</m:t>
        </m:r>
        <m:r>
          <m:t>A</m:t>
        </m:r>
        <m:r>
          <m:t>l</m:t>
        </m:r>
        <m:r>
          <m:t>b</m:t>
        </m:r>
        <m:r>
          <m:t>e</m:t>
        </m:r>
        <m:r>
          <m:t>r</m:t>
        </m:r>
        <m:r>
          <m:t>t</m:t>
        </m:r>
        <m:r>
          <m:t>a</m:t>
        </m:r>
        <m:r>
          <m:rPr>
            <m:sty m:val="p"/>
          </m:rPr>
          <m:t>*</m:t>
        </m:r>
        <m:r>
          <m:rPr>
            <m:sty m:val="p"/>
          </m:rPr>
          <m:t>*</m:t>
        </m:r>
        <m:r>
          <m:rPr>
            <m:sty m:val="p"/>
          </m:rPr>
          <m:t>,</m:t>
        </m:r>
        <m:r>
          <m:t>f</m:t>
        </m:r>
        <m:r>
          <m:t>u</m:t>
        </m:r>
        <m:r>
          <m:t>n</m:t>
        </m:r>
        <m:r>
          <m:t>d</m:t>
        </m:r>
        <m:r>
          <m:t>e</m:t>
        </m:r>
        <m:r>
          <m:t>d</m:t>
        </m:r>
        <m:r>
          <m:t>w</m:t>
        </m:r>
        <m:r>
          <m:t>i</m:t>
        </m:r>
        <m:r>
          <m:t>t</m:t>
        </m:r>
        <m:r>
          <m:t>h</m:t>
        </m:r>
        <m:r>
          <m:t>a</m:t>
        </m:r>
        <m:r>
          <m:t>C</m:t>
        </m:r>
        <m:r>
          <m:t>a</m:t>
        </m:r>
        <m:r>
          <m:t>n</m:t>
        </m:r>
        <m:r>
          <m:t>a</m:t>
        </m:r>
        <m:r>
          <m:t>d</m:t>
        </m:r>
        <m:r>
          <m:t>i</m:t>
        </m:r>
        <m:r>
          <m:t>a</m:t>
        </m:r>
        <m:r>
          <m:t>n</m:t>
        </m:r>
        <m:r>
          <m:rPr>
            <m:sty m:val="p"/>
          </m:rPr>
          <m:t>−</m:t>
        </m:r>
        <m:r>
          <m:t>d</m:t>
        </m:r>
        <m:r>
          <m:t>o</m:t>
        </m:r>
        <m:r>
          <m:t>l</m:t>
        </m:r>
        <m:r>
          <m:t>l</m:t>
        </m:r>
        <m:r>
          <m:t>a</m:t>
        </m:r>
        <m:r>
          <m:t>r</m:t>
        </m:r>
        <m:r>
          <m:t>r</m:t>
        </m:r>
        <m:r>
          <m:t>e</m:t>
        </m:r>
        <m:r>
          <m:t>v</m:t>
        </m:r>
        <m:r>
          <m:t>o</m:t>
        </m:r>
        <m:r>
          <m:t>l</m:t>
        </m:r>
        <m:r>
          <m:t>v</m:t>
        </m:r>
        <m:r>
          <m:t>e</m:t>
        </m:r>
        <m:r>
          <m:t>r</m:t>
        </m:r>
        <m:r>
          <m:t>d</m:t>
        </m:r>
        <m:r>
          <m:t>r</m:t>
        </m:r>
        <m:r>
          <m:t>a</m:t>
        </m:r>
        <m:r>
          <m:t>w</m:t>
        </m:r>
        <m:r>
          <m:rPr>
            <m:sty m:val="p"/>
          </m:rPr>
          <m:t>.</m:t>
        </m:r>
        <m:r>
          <m:t>A</m:t>
        </m:r>
        <m:r>
          <m:t>n</m:t>
        </m:r>
        <m:r>
          <m:t>n</m:t>
        </m:r>
        <m:r>
          <m:t>u</m:t>
        </m:r>
        <m:r>
          <m:t>a</m:t>
        </m:r>
        <m:r>
          <m:t>l</m:t>
        </m:r>
        <m:r>
          <m:t>r</m:t>
        </m:r>
        <m:r>
          <m:t>e</m:t>
        </m:r>
        <m:r>
          <m:t>n</m:t>
        </m:r>
        <m:r>
          <m:t>t</m:t>
        </m:r>
        <m:r>
          <m:t>u</m:t>
        </m:r>
        <m:r>
          <m:t>n</m:t>
        </m:r>
        <m:r>
          <m:t>d</m:t>
        </m:r>
        <m:r>
          <m:t>e</m:t>
        </m:r>
        <m:r>
          <m:t>r</m:t>
        </m:r>
        <m:r>
          <m:t>t</m:t>
        </m:r>
        <m:r>
          <m:t>h</m:t>
        </m:r>
        <m:r>
          <m:t>e</m:t>
        </m:r>
        <m:r>
          <m:t>e</m:t>
        </m:r>
        <m:r>
          <m:t>x</m:t>
        </m:r>
        <m:r>
          <m:t>p</m:t>
        </m:r>
        <m:r>
          <m:t>a</m:t>
        </m:r>
        <m:r>
          <m:t>n</m:t>
        </m:r>
        <m:r>
          <m:t>d</m:t>
        </m:r>
        <m:r>
          <m:t>e</m:t>
        </m:r>
        <m:r>
          <m:t>d</m:t>
        </m:r>
        <m:r>
          <m:t>P</m:t>
        </m:r>
        <m:r>
          <m:t>U</m:t>
        </m:r>
        <m:r>
          <m:t>R</m:t>
        </m:r>
        <m:r>
          <m:t>E</m:t>
        </m:r>
        <m:r>
          <m:t>m</m:t>
        </m:r>
        <m:r>
          <m:t>a</m:t>
        </m:r>
        <m:r>
          <m:t>s</m:t>
        </m:r>
        <m:r>
          <m:t>t</m:t>
        </m:r>
        <m:r>
          <m:t>e</m:t>
        </m:r>
        <m:r>
          <m:t>r</m:t>
        </m:r>
        <m:r>
          <m:t>l</m:t>
        </m:r>
        <m:r>
          <m:t>e</m:t>
        </m:r>
        <m:r>
          <m:t>a</m:t>
        </m:r>
        <m:r>
          <m:t>s</m:t>
        </m:r>
        <m:r>
          <m:t>e</m:t>
        </m:r>
        <m:r>
          <m:t>i</m:t>
        </m:r>
        <m:r>
          <m:t>n</m:t>
        </m:r>
        <m:r>
          <m:t>c</m:t>
        </m:r>
        <m:r>
          <m:t>r</m:t>
        </m:r>
        <m:r>
          <m:t>e</m:t>
        </m:r>
        <m:r>
          <m:t>a</m:t>
        </m:r>
        <m:r>
          <m:t>s</m:t>
        </m:r>
        <m:r>
          <m:t>e</m:t>
        </m:r>
        <m:r>
          <m:t>d</m:t>
        </m:r>
        <m:r>
          <m:t>b</m:t>
        </m:r>
        <m:r>
          <m:t>y</m:t>
        </m:r>
        <m:r>
          <m:t>a</m:t>
        </m:r>
        <m:r>
          <m:t>p</m:t>
        </m:r>
        <m:r>
          <m:t>p</m:t>
        </m:r>
        <m:r>
          <m:t>r</m:t>
        </m:r>
        <m:r>
          <m:t>o</m:t>
        </m:r>
        <m:r>
          <m:t>x</m:t>
        </m:r>
        <m:r>
          <m:t>i</m:t>
        </m:r>
        <m:r>
          <m:t>m</m:t>
        </m:r>
        <m:r>
          <m:t>a</m:t>
        </m:r>
        <m:r>
          <m:t>t</m:t>
        </m:r>
        <m:r>
          <m:t>e</m:t>
        </m:r>
        <m:r>
          <m:t>l</m:t>
        </m:r>
        <m:r>
          <m:t>y</m:t>
        </m:r>
        <m:r>
          <m:rPr>
            <m:sty m:val="p"/>
          </m:rPr>
          <m:t>*</m:t>
        </m:r>
        <m:r>
          <m:rPr>
            <m:sty m:val="p"/>
          </m:rPr>
          <m:t>*</m:t>
        </m:r>
      </m:oMath>
      <w:r>
        <w:rPr>
          <w:b/>
          <w:bCs/>
        </w:rPr>
        <w:t xml:space="preserve">11.6 million</w:t>
      </w:r>
      <w:r>
        <w:t xml:space="preserve">, representing an 8% initial yield. Because the deal closed with only a week remaining in Q2, its quarterly contribution will be minimal; the more meaningful effect begins in Q3. (</w:t>
      </w:r>
      <w:hyperlink r:id="rId15">
        <w:r>
          <w:rPr>
            <w:rStyle w:val="Hyperlink"/>
          </w:rPr>
          <w:t xml:space="preserve">investors.viciproperties.com</w:t>
        </w:r>
      </w:hyperlink>
      <w:r>
        <w:t xml:space="preserve">)</w:t>
      </w:r>
    </w:p>
    <w:p>
      <w:pPr>
        <w:pStyle w:val="BodyText"/>
      </w:pPr>
      <w:r>
        <w:t xml:space="preserve">The deal could nevertheless support a modest guidance increase because VICI’s Q1 guidance excluded pending transactions without announced closing dates. Investors should listen for confirmation of whether any Gamehost contribution was already contemplated.</w:t>
      </w:r>
    </w:p>
    <w:bookmarkEnd w:id="16"/>
    <w:bookmarkStart w:id="18" w:name="X095bff07f650d16b812d543cf77f43dbe587b8c"/>
    <w:p>
      <w:pPr>
        <w:pStyle w:val="Heading3"/>
      </w:pPr>
      <w:r>
        <w:t xml:space="preserve">4. Club Med is strategically notable, financially modest for now</w:t>
      </w:r>
    </w:p>
    <w:p>
      <w:pPr>
        <w:pStyle w:val="FirstParagraph"/>
      </w:pPr>
      <w:r>
        <w:t xml:space="preserve">VICI acquired the Carambola Beach Resort in St. Croix and agreed to fund its redevelopment into a Club Med resort. The total investment is expected to be approximately</w:t>
      </w:r>
      <w:r>
        <w:t xml:space="preserve"> </w:t>
      </w:r>
      <w:r>
        <w:rPr>
          <w:b/>
          <w:bCs/>
        </w:rPr>
        <w:t xml:space="preserve">$75 million</w:t>
      </w:r>
      <w:r>
        <w:t xml:space="preserve">, including roughly $55 million of redevelopment capital. Construction is expected to begin this summer, with reopening targeted for Q4 2027. (</w:t>
      </w:r>
      <w:hyperlink r:id="rId17">
        <w:r>
          <w:rPr>
            <w:rStyle w:val="Hyperlink"/>
          </w:rPr>
          <w:t xml:space="preserve">investors.viciproperties.com</w:t>
        </w:r>
      </w:hyperlink>
      <w:r>
        <w:t xml:space="preserve">)</w:t>
      </w:r>
    </w:p>
    <w:p>
      <w:pPr>
        <w:pStyle w:val="BodyText"/>
      </w:pPr>
      <w:r>
        <w:t xml:space="preserve">The transaction is too small to move near-term earnings materially, but it matters strategically because it demonstrates VICI’s effort to diversify beyond gaming. Investors should seek details on:</w:t>
      </w:r>
    </w:p>
    <w:p>
      <w:pPr>
        <w:pStyle w:val="Compact"/>
        <w:numPr>
          <w:ilvl w:val="0"/>
          <w:numId w:val="1003"/>
        </w:numPr>
      </w:pPr>
      <w:r>
        <w:t xml:space="preserve">Initial and stabilized lease yields</w:t>
      </w:r>
    </w:p>
    <w:p>
      <w:pPr>
        <w:pStyle w:val="Compact"/>
        <w:numPr>
          <w:ilvl w:val="0"/>
          <w:numId w:val="1003"/>
        </w:numPr>
      </w:pPr>
      <w:r>
        <w:t xml:space="preserve">Whether rent is earned during redevelopment</w:t>
      </w:r>
    </w:p>
    <w:p>
      <w:pPr>
        <w:pStyle w:val="Compact"/>
        <w:numPr>
          <w:ilvl w:val="0"/>
          <w:numId w:val="1003"/>
        </w:numPr>
      </w:pPr>
      <w:r>
        <w:t xml:space="preserve">Construction-cost and completion protections</w:t>
      </w:r>
    </w:p>
    <w:p>
      <w:pPr>
        <w:pStyle w:val="Compact"/>
        <w:numPr>
          <w:ilvl w:val="0"/>
          <w:numId w:val="1003"/>
        </w:numPr>
      </w:pPr>
      <w:r>
        <w:t xml:space="preserve">Club Med guarantees or other credit support</w:t>
      </w:r>
    </w:p>
    <w:p>
      <w:pPr>
        <w:pStyle w:val="Compact"/>
        <w:numPr>
          <w:ilvl w:val="0"/>
          <w:numId w:val="1003"/>
        </w:numPr>
      </w:pPr>
      <w:r>
        <w:t xml:space="preserve">The potential size of the broader Club Med relationship</w:t>
      </w:r>
    </w:p>
    <w:bookmarkEnd w:id="18"/>
    <w:bookmarkEnd w:id="19"/>
    <w:bookmarkStart w:id="20" w:name="Xf33fbfca63146e0d03607220019fa977c0dc60a"/>
    <w:p>
      <w:pPr>
        <w:pStyle w:val="Heading2"/>
      </w:pPr>
      <w:r>
        <w:t xml:space="preserve">Guidance: reiteration or a small raise is the likely range</w:t>
      </w:r>
    </w:p>
    <w:p>
      <w:pPr>
        <w:pStyle w:val="FirstParagraph"/>
      </w:pPr>
      <w:r>
        <w:t xml:space="preserve">VICI raised 2026 AFFO guidance in Q1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AFFO</w:t>
            </w:r>
          </w:p>
        </w:tc>
        <w:tc>
          <w:tcPr/>
          <w:p>
            <w:pPr>
              <w:pStyle w:val="Compact"/>
              <w:jc w:val="right"/>
            </w:pPr>
            <m:oMath>
              <m:r>
                <m:t>2.665</m:t>
              </m:r>
              <m:r>
                <m:t>B</m:t>
              </m:r>
              <m:r>
                <m:rPr>
                  <m:sty m:val="p"/>
                </m:rPr>
                <m:t>–</m:t>
              </m:r>
            </m:oMath>
            <w:r>
              <w:t xml:space="preserve">2.695B</w:t>
            </w:r>
          </w:p>
        </w:tc>
      </w:tr>
      <w:tr>
        <w:tc>
          <w:tcPr/>
          <w:p>
            <w:pPr>
              <w:pStyle w:val="Compact"/>
            </w:pPr>
            <w:r>
              <w:t xml:space="preserve">AFFO per diluted share</w:t>
            </w:r>
          </w:p>
        </w:tc>
        <w:tc>
          <w:tcPr/>
          <w:p>
            <w:pPr>
              <w:pStyle w:val="Compact"/>
              <w:jc w:val="right"/>
            </w:pPr>
            <m:oMath>
              <m:r>
                <m:t>2.44</m:t>
              </m:r>
              <m:r>
                <m:rPr>
                  <m:sty m:val="p"/>
                </m:rPr>
                <m:t>–</m:t>
              </m:r>
            </m:oMath>
            <w:r>
              <w:t xml:space="preserve">2.47</w:t>
            </w:r>
          </w:p>
        </w:tc>
      </w:tr>
      <w:tr>
        <w:tc>
          <w:tcPr/>
          <w:p>
            <w:pPr>
              <w:pStyle w:val="Compact"/>
            </w:pPr>
            <w:r>
              <w:t xml:space="preserve">Weighted-average diluted shares</w:t>
            </w:r>
          </w:p>
        </w:tc>
        <w:tc>
          <w:tcPr/>
          <w:p>
            <w:pPr>
              <w:pStyle w:val="Compact"/>
              <w:jc w:val="right"/>
            </w:pPr>
            <w:r>
              <w:t xml:space="preserve">1.091B</w:t>
            </w:r>
          </w:p>
        </w:tc>
      </w:tr>
    </w:tbl>
    <w:p>
      <w:pPr>
        <w:pStyle w:val="BodyText"/>
      </w:pPr>
      <w:r>
        <w:t xml:space="preserve">The Q1 increase appears to have incorporated the expected Golden closing and associated share issuance. Since then, the Gamehost acquisition has closed and the Club Med investment has been announced, but neither is large enough to justify a substantial change on its own.</w:t>
      </w:r>
    </w:p>
    <w:p>
      <w:pPr>
        <w:pStyle w:val="BodyText"/>
      </w:pPr>
      <w:r>
        <w:t xml:space="preserve">Accordingly:</w:t>
      </w:r>
    </w:p>
    <w:p>
      <w:pPr>
        <w:pStyle w:val="Compact"/>
        <w:numPr>
          <w:ilvl w:val="0"/>
          <w:numId w:val="1004"/>
        </w:numPr>
      </w:pPr>
      <w:r>
        <w:rPr>
          <w:b/>
          <w:bCs/>
        </w:rPr>
        <w:t xml:space="preserve">Base case:</w:t>
      </w:r>
      <w:r>
        <w:t xml:space="preserve"> </w:t>
      </w:r>
      <w:r>
        <w:t xml:space="preserve">VICI reiterates or increases guidance by roughly $0.01 per share.</w:t>
      </w:r>
    </w:p>
    <w:p>
      <w:pPr>
        <w:pStyle w:val="Compact"/>
        <w:numPr>
          <w:ilvl w:val="0"/>
          <w:numId w:val="1004"/>
        </w:numPr>
      </w:pPr>
      <w:r>
        <w:rPr>
          <w:b/>
          <w:bCs/>
        </w:rPr>
        <w:t xml:space="preserve">Bull case:</w:t>
      </w:r>
      <w:r>
        <w:t xml:space="preserve"> </w:t>
      </w:r>
      <w:r>
        <w:t xml:space="preserve">Guidance rises above</w:t>
      </w:r>
      <w:r>
        <w:t xml:space="preserve"> </w:t>
      </w:r>
      <w:r>
        <w:rPr>
          <w:b/>
          <w:bCs/>
        </w:rPr>
        <w:t xml:space="preserve">$2.47</w:t>
      </w:r>
      <w:r>
        <w:t xml:space="preserve">, supported by faster One Beverly Hills funding, higher investment income, and accretive deal contributions.</w:t>
      </w:r>
    </w:p>
    <w:p>
      <w:pPr>
        <w:pStyle w:val="Compact"/>
        <w:numPr>
          <w:ilvl w:val="0"/>
          <w:numId w:val="1004"/>
        </w:numPr>
      </w:pPr>
      <w:r>
        <w:rPr>
          <w:b/>
          <w:bCs/>
        </w:rPr>
        <w:t xml:space="preserve">Bear case:</w:t>
      </w:r>
      <w:r>
        <w:t xml:space="preserve"> </w:t>
      </w:r>
      <w:r>
        <w:t xml:space="preserve">Guidance is maintained while management cites higher revolver interest expense, slower deployment, or dilution from the Golden shares.</w:t>
      </w:r>
    </w:p>
    <w:p>
      <w:pPr>
        <w:pStyle w:val="FirstParagraph"/>
      </w:pPr>
      <w:r>
        <w:t xml:space="preserve">A guidance reiteration would not necessarily be negative if Q2 AFFO is solid and the balance-sheet outlook remains controlled.</w:t>
      </w:r>
    </w:p>
    <w:bookmarkEnd w:id="20"/>
    <w:bookmarkStart w:id="21" w:name="X37dd222ac528d69bc6334956f59006fcdfef215"/>
    <w:p>
      <w:pPr>
        <w:pStyle w:val="Heading2"/>
      </w:pPr>
      <w:r>
        <w:t xml:space="preserve">Balance sheet and refinancing are arguably more important than the headline beat</w:t>
      </w:r>
    </w:p>
    <w:p>
      <w:pPr>
        <w:pStyle w:val="FirstParagraph"/>
      </w:pPr>
      <w:r>
        <w:t xml:space="preserve">VICI ended Q1 with net leverage of approximately</w:t>
      </w:r>
      <w:r>
        <w:t xml:space="preserve"> </w:t>
      </w:r>
      <w:r>
        <w:rPr>
          <w:b/>
          <w:bCs/>
        </w:rPr>
        <w:t xml:space="preserve">5.0 times</w:t>
      </w:r>
      <w:r>
        <w:t xml:space="preserve">, at the low end of its 5.0–5.5 times target, and reported $3.1 billion of liquidity before the Golden closing. However, subsequent transactions used cash, settled the remaining forward equity, and added a Canadian revolver draw.</w:t>
      </w:r>
    </w:p>
    <w:p>
      <w:pPr>
        <w:pStyle w:val="BodyText"/>
      </w:pPr>
      <w:r>
        <w:t xml:space="preserve">The company also faces:</w:t>
      </w:r>
    </w:p>
    <w:p>
      <w:pPr>
        <w:pStyle w:val="Compact"/>
        <w:numPr>
          <w:ilvl w:val="0"/>
          <w:numId w:val="1005"/>
        </w:numPr>
      </w:pPr>
      <w:r>
        <w:rPr>
          <w:b/>
          <w:bCs/>
        </w:rPr>
        <w:t xml:space="preserve">$500 million</w:t>
      </w:r>
      <w:r>
        <w:t xml:space="preserve"> </w:t>
      </w:r>
      <w:r>
        <w:t xml:space="preserve">of notes due September 2026</w:t>
      </w:r>
    </w:p>
    <w:p>
      <w:pPr>
        <w:pStyle w:val="Compact"/>
        <w:numPr>
          <w:ilvl w:val="0"/>
          <w:numId w:val="1005"/>
        </w:numPr>
      </w:pPr>
      <w:r>
        <w:rPr>
          <w:b/>
          <w:bCs/>
        </w:rPr>
        <w:t xml:space="preserve">$1.25 billion</w:t>
      </w:r>
      <w:r>
        <w:t xml:space="preserve"> </w:t>
      </w:r>
      <w:r>
        <w:t xml:space="preserve">due December 2026</w:t>
      </w:r>
    </w:p>
    <w:p>
      <w:pPr>
        <w:pStyle w:val="Compact"/>
        <w:numPr>
          <w:ilvl w:val="0"/>
          <w:numId w:val="1005"/>
        </w:numPr>
      </w:pPr>
      <w:r>
        <w:t xml:space="preserve">Another</w:t>
      </w:r>
      <w:r>
        <w:t xml:space="preserve"> </w:t>
      </w:r>
      <w:r>
        <w:rPr>
          <w:b/>
          <w:bCs/>
        </w:rPr>
        <w:t xml:space="preserve">$1.5 billion</w:t>
      </w:r>
      <w:r>
        <w:t xml:space="preserve"> </w:t>
      </w:r>
      <w:r>
        <w:t xml:space="preserve">due in February 2027</w:t>
      </w:r>
    </w:p>
    <w:p>
      <w:pPr>
        <w:pStyle w:val="FirstParagraph"/>
      </w:pPr>
      <w:r>
        <w:t xml:space="preserve">VICI entered into $500 million of forward-starting swaps through late April to hedge part of its expected refinancing needs. Investors should focus on the expected issuance schedule and the all-in rate on replacement debt. A clean refinancing plan would likely matter more to the stock than a one-cent quarterly earnings beat.</w:t>
      </w:r>
    </w:p>
    <w:bookmarkEnd w:id="21"/>
    <w:bookmarkStart w:id="22" w:name="X3de15ab4edf308cd35c438ac8c370039821444a"/>
    <w:p>
      <w:pPr>
        <w:pStyle w:val="Heading2"/>
      </w:pPr>
      <w:r>
        <w:t xml:space="preserve">Tenant and portfolio risk remains concentrated</w:t>
      </w:r>
    </w:p>
    <w:p>
      <w:pPr>
        <w:pStyle w:val="FirstParagraph"/>
      </w:pPr>
      <w:r>
        <w:t xml:space="preserve">On a pro forma basis after Golden, Caesars represented approximately</w:t>
      </w:r>
      <w:r>
        <w:t xml:space="preserve"> </w:t>
      </w:r>
      <w:r>
        <w:rPr>
          <w:b/>
          <w:bCs/>
        </w:rPr>
        <w:t xml:space="preserve">38% of annualized rent</w:t>
      </w:r>
      <w:r>
        <w:t xml:space="preserve"> </w:t>
      </w:r>
      <w:r>
        <w:t xml:space="preserve">and MGM approximately</w:t>
      </w:r>
      <w:r>
        <w:t xml:space="preserve"> </w:t>
      </w:r>
      <w:r>
        <w:rPr>
          <w:b/>
          <w:bCs/>
        </w:rPr>
        <w:t xml:space="preserve">32%</w:t>
      </w:r>
      <w:r>
        <w:t xml:space="preserve">. Together, those two operators accounted for about</w:t>
      </w:r>
      <w:r>
        <w:t xml:space="preserve"> </w:t>
      </w:r>
      <w:r>
        <w:rPr>
          <w:b/>
          <w:bCs/>
        </w:rPr>
        <w:t xml:space="preserve">70% of contractual rent</w:t>
      </w:r>
      <w:r>
        <w:t xml:space="preserve">. VICI’s lease structure insulates near-term rent collection from ordinary fluctuations in casino revenue, but tenant operating performance ultimately determines long-term coverage and asset value.</w:t>
      </w:r>
    </w:p>
    <w:p>
      <w:pPr>
        <w:pStyle w:val="BodyText"/>
      </w:pPr>
      <w:r>
        <w:t xml:space="preserve">Questions for management should concentrate on:</w:t>
      </w:r>
    </w:p>
    <w:p>
      <w:pPr>
        <w:pStyle w:val="Compact"/>
        <w:numPr>
          <w:ilvl w:val="0"/>
          <w:numId w:val="1006"/>
        </w:numPr>
      </w:pPr>
      <w:r>
        <w:t xml:space="preserve">Las Vegas Strip demand and consumer value perceptions</w:t>
      </w:r>
    </w:p>
    <w:p>
      <w:pPr>
        <w:pStyle w:val="Compact"/>
        <w:numPr>
          <w:ilvl w:val="0"/>
          <w:numId w:val="1006"/>
        </w:numPr>
      </w:pPr>
      <w:r>
        <w:t xml:space="preserve">Caesars regional property performance</w:t>
      </w:r>
    </w:p>
    <w:p>
      <w:pPr>
        <w:pStyle w:val="Compact"/>
        <w:numPr>
          <w:ilvl w:val="0"/>
          <w:numId w:val="1006"/>
        </w:numPr>
      </w:pPr>
      <w:r>
        <w:t xml:space="preserve">MGM and Caesars lease coverage</w:t>
      </w:r>
    </w:p>
    <w:p>
      <w:pPr>
        <w:pStyle w:val="Compact"/>
        <w:numPr>
          <w:ilvl w:val="0"/>
          <w:numId w:val="1006"/>
        </w:numPr>
      </w:pPr>
      <w:r>
        <w:t xml:space="preserve">Early trends in the Las Vegas locals market</w:t>
      </w:r>
    </w:p>
    <w:p>
      <w:pPr>
        <w:pStyle w:val="Compact"/>
        <w:numPr>
          <w:ilvl w:val="0"/>
          <w:numId w:val="1006"/>
        </w:numPr>
      </w:pPr>
      <w:r>
        <w:t xml:space="preserve">Century Casinos’ strategic review and balance-sheet leverage</w:t>
      </w:r>
    </w:p>
    <w:p>
      <w:pPr>
        <w:pStyle w:val="Compact"/>
        <w:numPr>
          <w:ilvl w:val="0"/>
          <w:numId w:val="1006"/>
        </w:numPr>
      </w:pPr>
      <w:r>
        <w:t xml:space="preserve">Potential effects from iGaming, prediction markets, and new casino supply</w:t>
      </w:r>
    </w:p>
    <w:bookmarkEnd w:id="22"/>
    <w:bookmarkStart w:id="23"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Indicator</w:t>
            </w:r>
          </w:p>
        </w:tc>
        <w:tc>
          <w:tcPr/>
          <w:p>
            <w:pPr>
              <w:pStyle w:val="Compact"/>
            </w:pPr>
            <w:r>
              <w:t xml:space="preserve">Positive</w:t>
            </w:r>
          </w:p>
        </w:tc>
        <w:tc>
          <w:tcPr/>
          <w:p>
            <w:pPr>
              <w:pStyle w:val="Compact"/>
            </w:pPr>
            <w:r>
              <w:t xml:space="preserve">Concerning</w:t>
            </w:r>
          </w:p>
        </w:tc>
      </w:tr>
      <w:tr>
        <w:tc>
          <w:tcPr/>
          <w:p>
            <w:pPr>
              <w:pStyle w:val="Compact"/>
            </w:pPr>
            <w:r>
              <w:t xml:space="preserve">Q2 AFFO/share</w:t>
            </w:r>
          </w:p>
        </w:tc>
        <w:tc>
          <w:tcPr/>
          <w:p>
            <w:pPr>
              <w:pStyle w:val="Compact"/>
            </w:pPr>
            <w:r>
              <w:t xml:space="preserve">$0.62 or better</w:t>
            </w:r>
          </w:p>
        </w:tc>
        <w:tc>
          <w:tcPr/>
          <w:p>
            <w:pPr>
              <w:pStyle w:val="Compact"/>
            </w:pPr>
            <w:r>
              <w:t xml:space="preserve">$0.60 or lower</w:t>
            </w:r>
          </w:p>
        </w:tc>
      </w:tr>
      <w:tr>
        <w:tc>
          <w:tcPr/>
          <w:p>
            <w:pPr>
              <w:pStyle w:val="Compact"/>
            </w:pPr>
            <w:r>
              <w:t xml:space="preserve">2026 guidance</w:t>
            </w:r>
          </w:p>
        </w:tc>
        <w:tc>
          <w:tcPr/>
          <w:p>
            <w:pPr>
              <w:pStyle w:val="Compact"/>
            </w:pPr>
            <w:r>
              <w:t xml:space="preserve">Raised above midpoint/current high end</w:t>
            </w:r>
          </w:p>
        </w:tc>
        <w:tc>
          <w:tcPr/>
          <w:p>
            <w:pPr>
              <w:pStyle w:val="Compact"/>
            </w:pPr>
            <w:r>
              <w:t xml:space="preserve">Lowered or maintained due to financing pressure</w:t>
            </w:r>
          </w:p>
        </w:tc>
      </w:tr>
      <w:tr>
        <w:tc>
          <w:tcPr/>
          <w:p>
            <w:pPr>
              <w:pStyle w:val="Compact"/>
            </w:pPr>
            <w:r>
              <w:t xml:space="preserve">Net leverage</w:t>
            </w:r>
          </w:p>
        </w:tc>
        <w:tc>
          <w:tcPr/>
          <w:p>
            <w:pPr>
              <w:pStyle w:val="Compact"/>
            </w:pPr>
            <w:r>
              <w:t xml:space="preserve">Within 5.0–5.5x target</w:t>
            </w:r>
          </w:p>
        </w:tc>
        <w:tc>
          <w:tcPr/>
          <w:p>
            <w:pPr>
              <w:pStyle w:val="Compact"/>
            </w:pPr>
            <w:r>
              <w:t xml:space="preserve">Moving materially above 5.5x</w:t>
            </w:r>
          </w:p>
        </w:tc>
      </w:tr>
      <w:tr>
        <w:tc>
          <w:tcPr/>
          <w:p>
            <w:pPr>
              <w:pStyle w:val="Compact"/>
            </w:pPr>
            <w:r>
              <w:t xml:space="preserve">Refinancing</w:t>
            </w:r>
          </w:p>
        </w:tc>
        <w:tc>
          <w:tcPr/>
          <w:p>
            <w:pPr>
              <w:pStyle w:val="Compact"/>
            </w:pPr>
            <w:r>
              <w:t xml:space="preserve">Clear, well-hedged plan</w:t>
            </w:r>
          </w:p>
        </w:tc>
        <w:tc>
          <w:tcPr/>
          <w:p>
            <w:pPr>
              <w:pStyle w:val="Compact"/>
            </w:pPr>
            <w:r>
              <w:t xml:space="preserve">Materially higher interest burden</w:t>
            </w:r>
          </w:p>
        </w:tc>
      </w:tr>
      <w:tr>
        <w:tc>
          <w:tcPr/>
          <w:p>
            <w:pPr>
              <w:pStyle w:val="Compact"/>
            </w:pPr>
            <w:r>
              <w:t xml:space="preserve">Golden transaction</w:t>
            </w:r>
          </w:p>
        </w:tc>
        <w:tc>
          <w:tcPr/>
          <w:p>
            <w:pPr>
              <w:pStyle w:val="Compact"/>
            </w:pPr>
            <w:r>
              <w:t xml:space="preserve">Accretive with healthy initial coverage</w:t>
            </w:r>
          </w:p>
        </w:tc>
        <w:tc>
          <w:tcPr/>
          <w:p>
            <w:pPr>
              <w:pStyle w:val="Compact"/>
            </w:pPr>
            <w:r>
              <w:t xml:space="preserve">Weak coverage or integration concerns</w:t>
            </w:r>
          </w:p>
        </w:tc>
      </w:tr>
      <w:tr>
        <w:tc>
          <w:tcPr/>
          <w:p>
            <w:pPr>
              <w:pStyle w:val="Compact"/>
            </w:pPr>
            <w:r>
              <w:t xml:space="preserve">One Beverly Hills</w:t>
            </w:r>
          </w:p>
        </w:tc>
        <w:tc>
          <w:tcPr/>
          <w:p>
            <w:pPr>
              <w:pStyle w:val="Compact"/>
            </w:pPr>
            <w:r>
              <w:t xml:space="preserve">Controlled funding with attractive income</w:t>
            </w:r>
          </w:p>
        </w:tc>
        <w:tc>
          <w:tcPr/>
          <w:p>
            <w:pPr>
              <w:pStyle w:val="Compact"/>
            </w:pPr>
            <w:r>
              <w:t xml:space="preserve">Rising concentration or construction risk</w:t>
            </w:r>
          </w:p>
        </w:tc>
      </w:tr>
      <w:tr>
        <w:tc>
          <w:tcPr/>
          <w:p>
            <w:pPr>
              <w:pStyle w:val="Compact"/>
            </w:pPr>
            <w:r>
              <w:t xml:space="preserve">External growth</w:t>
            </w:r>
          </w:p>
        </w:tc>
        <w:tc>
          <w:tcPr/>
          <w:p>
            <w:pPr>
              <w:pStyle w:val="Compact"/>
            </w:pPr>
            <w:r>
              <w:t xml:space="preserve">Accretive without common-equity issuance</w:t>
            </w:r>
          </w:p>
        </w:tc>
        <w:tc>
          <w:tcPr/>
          <w:p>
            <w:pPr>
              <w:pStyle w:val="Compact"/>
            </w:pPr>
            <w:r>
              <w:t xml:space="preserve">Deals constrained by cost of capital</w:t>
            </w:r>
          </w:p>
        </w:tc>
      </w:tr>
    </w:tbl>
    <w:bookmarkEnd w:id="23"/>
    <w:bookmarkStart w:id="24" w:name="bottom-line"/>
    <w:p>
      <w:pPr>
        <w:pStyle w:val="Heading2"/>
      </w:pPr>
      <w:r>
        <w:t xml:space="preserve">Bottom line</w:t>
      </w:r>
    </w:p>
    <w:p>
      <w:pPr>
        <w:pStyle w:val="FirstParagraph"/>
      </w:pPr>
      <w:r>
        <w:t xml:space="preserve">The core Q2 result should be steady: approximately</w:t>
      </w:r>
      <w:r>
        <w:t xml:space="preserve"> </w:t>
      </w:r>
      <m:oMath>
        <m:r>
          <m:t>0.61</m:t>
        </m:r>
        <m:r>
          <m:rPr>
            <m:sty m:val="p"/>
          </m:rPr>
          <m:t>–</m:t>
        </m:r>
      </m:oMath>
      <w:r>
        <w:rPr>
          <w:b/>
          <w:bCs/>
        </w:rPr>
        <w:t xml:space="preserve">0.62 of AFFO per share</w:t>
      </w:r>
      <w:r>
        <w:t xml:space="preserve">, with higher AFFO dollars offset by the Golden-related increase in share count. The larger stock-moving issues are likely to be</w:t>
      </w:r>
      <w:r>
        <w:t xml:space="preserve"> </w:t>
      </w:r>
      <w:r>
        <w:rPr>
          <w:b/>
          <w:bCs/>
        </w:rPr>
        <w:t xml:space="preserve">full-year guidance, post-transaction leverage, upcoming debt refinancing, and management’s willingness to pursue additional investments while the shares trade at an elevated AFFO yield</w:t>
      </w:r>
      <w:r>
        <w:t xml:space="preserve">.</w:t>
      </w:r>
    </w:p>
    <w:p>
      <w:pPr>
        <w:pStyle w:val="BodyText"/>
      </w:pPr>
      <w:r>
        <w:t xml:space="preserve">A modest beat and slight guidance raise would be welcome, but the strongest outcome would combine steady per-share growth with evidence that VICI can fund its pipeline without pushing leverage above target or issuing unattractive common equity. At roughly 11 times guidance and a 6.6% dividend yield, expectations are not demanding—but the market will want proof that the recent burst of investment activity is translating into sustainable per-share growth.</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viciproperties.com/news-events/events?utm_source=openai" TargetMode="External" /><Relationship Type="http://schemas.openxmlformats.org/officeDocument/2006/relationships/hyperlink" Id="rId17" Target="https://investors.viciproperties.com/news-releases/news-release-details/vici-properties-and-club-med-announce-acquisition-and?utm_source=openai" TargetMode="External" /><Relationship Type="http://schemas.openxmlformats.org/officeDocument/2006/relationships/hyperlink" Id="rId10" Target="https://investors.viciproperties.com/news-releases/news-release-details/vici-properties-inc-announces-first-quarter-2026-results?utm_source=openai" TargetMode="External" /><Relationship Type="http://schemas.openxmlformats.org/officeDocument/2006/relationships/hyperlink" Id="rId12" Target="https://investors.viciproperties.com/news-releases/news-release-details/vici-properties-inc-closes-sale-leaseback-transaction-golden" TargetMode="External" /><Relationship Type="http://schemas.openxmlformats.org/officeDocument/2006/relationships/hyperlink" Id="rId15" Target="https://investors.viciproperties.com/news-releases/news-release-details/vici-properties-inc-completes-sale-leaseback-canadian-portfolio?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viciproperties.com/news-events/events?utm_source=openai" TargetMode="External" /><Relationship Type="http://schemas.openxmlformats.org/officeDocument/2006/relationships/hyperlink" Id="rId17" Target="https://investors.viciproperties.com/news-releases/news-release-details/vici-properties-and-club-med-announce-acquisition-and?utm_source=openai" TargetMode="External" /><Relationship Type="http://schemas.openxmlformats.org/officeDocument/2006/relationships/hyperlink" Id="rId10" Target="https://investors.viciproperties.com/news-releases/news-release-details/vici-properties-inc-announces-first-quarter-2026-results?utm_source=openai" TargetMode="External" /><Relationship Type="http://schemas.openxmlformats.org/officeDocument/2006/relationships/hyperlink" Id="rId12" Target="https://investors.viciproperties.com/news-releases/news-release-details/vici-properties-inc-closes-sale-leaseback-transaction-golden" TargetMode="External" /><Relationship Type="http://schemas.openxmlformats.org/officeDocument/2006/relationships/hyperlink" Id="rId15" Target="https://investors.viciproperties.com/news-releases/news-release-details/vici-properties-inc-completes-sale-leaseback-canadian-portfolio?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2026-07-29T02:16:45Z</dcterms:created>
  <dcterms:modified xsi:type="dcterms:W3CDTF">2026-07-29T02:16:45Z</dcterms:modified>
</cp:coreProperties>
</file>

<file path=docProps/custom.xml><?xml version="1.0" encoding="utf-8"?>
<Properties xmlns="http://schemas.openxmlformats.org/officeDocument/2006/custom-properties" xmlns:vt="http://schemas.openxmlformats.org/officeDocument/2006/docPropsVTypes"/>
</file>