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~$0.86B vs. cons $0.85B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~$2.46 vs. cons $2.46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AFFO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~$2.68B vs. cons $2.68B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leverage / capital-allocation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~5.1x vs. cons 5.1x (Q2 2026 exit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(STABILIZE)</w:t>
            </w:r>
          </w:p>
        </w:tc>
        <w:tc>
          <w:tcPr/>
          <w:p>
            <w:pPr>
              <w:pStyle w:val="Compact"/>
            </w:pPr>
            <w:r>
              <w:t xml:space="preserve">A modest $0.62 versus</w:t>
            </w:r>
            <w:r>
              <w:t xml:space="preserve"> </w:t>
            </w:r>
            <m:oMath>
              <m:r>
                <m:t>0.61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v</m:t>
              </m:r>
              <m:r>
                <m:t>i</m:t>
              </m:r>
              <m:r>
                <m:t>d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G</m:t>
              </m:r>
              <m:r>
                <m:t>o</m:t>
              </m:r>
              <m:r>
                <m:t>l</m:t>
              </m:r>
              <m:r>
                <m:t>d</m:t>
              </m:r>
              <m:r>
                <m:t>e</m:t>
              </m:r>
              <m:r>
                <m:t>n</m:t>
              </m:r>
              <m:r>
                <m:t>r</m:t>
              </m:r>
              <m:r>
                <m:t>e</m:t>
              </m:r>
              <m:r>
                <m:t>n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r</m:t>
              </m:r>
              <m:r>
                <m:t>i</m:t>
              </m:r>
              <m:r>
                <m:t>b</m:t>
              </m:r>
              <m:r>
                <m:t>u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2.46 FY2026 AFFO/share guidance versus ~$2.46 consensus leaves no meaningful out-period estimate upgrade. At ~5.1x versus ~5.1x expected leverage, refinancing and capital-deployment questions remain contained but unresolved, limiting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2026-07-29T02:14:41Z</dcterms:created>
  <dcterms:modified xsi:type="dcterms:W3CDTF">2026-07-29T02:14:41Z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