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b263830880c7f1ca0e24632f79426e1fd315d29"/>
    <w:p>
      <w:pPr>
        <w:pStyle w:val="Heading1"/>
      </w:pPr>
      <w:r>
        <w:t xml:space="preserve">VICI Properties (NYSE: VICI) — Q2 2026 Earnings Preview</w:t>
      </w:r>
    </w:p>
    <w:p>
      <w:pPr>
        <w:pStyle w:val="BlockText"/>
      </w:pPr>
      <w:r>
        <w:rPr>
          <w:b/>
          <w:bCs/>
        </w:rPr>
        <w:t xml:space="preserve">Timing clarification:</w:t>
      </w:r>
      <w:r>
        <w:t xml:space="preserve"> </w:t>
      </w:r>
      <w:r>
        <w:t xml:space="preserve">VICI is scheduled to</w:t>
      </w:r>
      <w:r>
        <w:t xml:space="preserve"> </w:t>
      </w:r>
      <w:r>
        <w:rPr>
          <w:b/>
          <w:bCs/>
        </w:rPr>
        <w:t xml:space="preserve">release Q2 2026 results after the NYSE close on Wednesday, July 29, 2026</w:t>
      </w:r>
      <w:r>
        <w:t xml:space="preserve">. The</w:t>
      </w:r>
      <w:r>
        <w:t xml:space="preserve"> </w:t>
      </w:r>
      <w:r>
        <w:rPr>
          <w:b/>
          <w:bCs/>
        </w:rPr>
        <w:t xml:space="preserve">earnings call is Thursday, July 30, 2026, at 10:00 a.m. ET</w:t>
      </w:r>
      <w:r>
        <w:t xml:space="preserve">—so the call is tomorrow, not the results release.</w:t>
      </w:r>
    </w:p>
    <w:bookmarkStart w:id="9" w:name="X814e00a2037987edf83ba8e2050ec7a20072b71"/>
    <w:p>
      <w:pPr>
        <w:pStyle w:val="Heading2"/>
      </w:pPr>
      <w:r>
        <w:t xml:space="preserve">Investment view: this is an execution-and-capital-allocation quarter</w:t>
      </w:r>
    </w:p>
    <w:p>
      <w:pPr>
        <w:pStyle w:val="FirstParagraph"/>
      </w:pPr>
      <w:r>
        <w:t xml:space="preserve">VICI’s Q2 report should be less about volatile GAAP EPS and more about whether the company is delivering the steady AFFO-per-share growth implied by its updated 2026 outlook—while successfully absorbing a meaningful burst of investment activity.</w:t>
      </w:r>
    </w:p>
    <w:p>
      <w:pPr>
        <w:pStyle w:val="BodyText"/>
      </w:pPr>
      <w:r>
        <w:t xml:space="preserve">The core earnings proposition remains attractive: long-duration, mostly triple-net leases with contractual escalators, high occupancy, and a portfolio concentrated in scaled gaming and Las Vegas assets. The key debate is whether VICI can continue to deploy capital accretively without putting pressure on its balance sheet, funding costs, or per-share growth.</w:t>
      </w:r>
    </w:p>
    <w:p>
      <w:pPr>
        <w:pStyle w:val="BodyText"/>
      </w:pPr>
      <w:r>
        <w:rPr>
          <w:b/>
          <w:bCs/>
        </w:rPr>
        <w:t xml:space="preserve">The primary near-term catalyst is the contribution from the Golden Entertainment transaction</w:t>
      </w:r>
      <w:r>
        <w:t xml:space="preserve">, which closed around the start of Q2 and added seven casino properties under a 30-year master lease with</w:t>
      </w:r>
      <w:r>
        <w:t xml:space="preserve"> </w:t>
      </w:r>
      <w:r>
        <w:rPr>
          <w:b/>
          <w:bCs/>
        </w:rPr>
        <w:t xml:space="preserve">$87 million of initial annual rent</w:t>
      </w:r>
      <w:r>
        <w:t xml:space="preserve">. Investors will also look for confirmation that the Gamehost/PURE acquisition closed or remains on schedule, updates on funding and economics at One Beverly Hills, and a credible refinancing plan for upcoming debt maturities.</w:t>
      </w:r>
    </w:p>
    <w:p>
      <w:r>
        <w:pict>
          <v:rect style="width:0;height:1.5pt" o:hralign="center" o:hrstd="t" o:hr="t"/>
        </w:pict>
      </w:r>
    </w:p>
    <w:bookmarkEnd w:id="9"/>
    <w:bookmarkStart w:id="13" w:name="what-matters-most-in-the-quarter"/>
    <w:p>
      <w:pPr>
        <w:pStyle w:val="Heading2"/>
      </w:pPr>
      <w:r>
        <w:t xml:space="preserve">What matters most in the quarter</w:t>
      </w:r>
    </w:p>
    <w:bookmarkStart w:id="10" w:name="X838e803bc3c25e557f47b615c082b3914d34bc2"/>
    <w:p>
      <w:pPr>
        <w:pStyle w:val="Heading3"/>
      </w:pPr>
      <w:r>
        <w:t xml:space="preserve">1. AFFO per share—not GAAP EPS—is the headline metric</w:t>
      </w:r>
    </w:p>
    <w:p>
      <w:pPr>
        <w:pStyle w:val="FirstParagraph"/>
      </w:pPr>
      <w:r>
        <w:t xml:space="preserve">In Q1, VICI generated: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Q1 2026</w:t>
            </w:r>
          </w:p>
        </w:tc>
        <w:tc>
          <w:tcPr/>
          <w:p>
            <w:pPr>
              <w:pStyle w:val="Compact"/>
              <w:jc w:val="right"/>
            </w:pPr>
            <w:r>
              <w:t xml:space="preserve">YoY change</w:t>
            </w:r>
          </w:p>
        </w:tc>
      </w:tr>
      <w:tr>
        <w:tc>
          <w:tcPr/>
          <w:p>
            <w:pPr>
              <w:pStyle w:val="Compact"/>
            </w:pPr>
            <w:r>
              <w:t xml:space="preserve">Revenue</w:t>
            </w:r>
          </w:p>
        </w:tc>
        <w:tc>
          <w:tcPr/>
          <w:p>
            <w:pPr>
              <w:pStyle w:val="Compact"/>
              <w:jc w:val="right"/>
            </w:pPr>
            <w:r>
              <w:t xml:space="preserve">$1.02B</w:t>
            </w:r>
          </w:p>
        </w:tc>
        <w:tc>
          <w:tcPr/>
          <w:p>
            <w:pPr>
              <w:pStyle w:val="Compact"/>
              <w:jc w:val="right"/>
            </w:pPr>
            <w:r>
              <w:t xml:space="preserve">+3.5%</w:t>
            </w:r>
          </w:p>
        </w:tc>
      </w:tr>
      <w:tr>
        <w:tc>
          <w:tcPr/>
          <w:p>
            <w:pPr>
              <w:pStyle w:val="Compact"/>
            </w:pPr>
            <w:r>
              <w:t xml:space="preserve">AFFO</w:t>
            </w:r>
          </w:p>
        </w:tc>
        <w:tc>
          <w:tcPr/>
          <w:p>
            <w:pPr>
              <w:pStyle w:val="Compact"/>
              <w:jc w:val="right"/>
            </w:pPr>
            <w:r>
              <w:t xml:space="preserve">$650.9M</w:t>
            </w:r>
          </w:p>
        </w:tc>
        <w:tc>
          <w:tcPr/>
          <w:p>
            <w:pPr>
              <w:pStyle w:val="Compact"/>
              <w:jc w:val="right"/>
            </w:pPr>
            <w:r>
              <w:t xml:space="preserve">+5.7%</w:t>
            </w:r>
          </w:p>
        </w:tc>
      </w:tr>
      <w:tr>
        <w:tc>
          <w:tcPr/>
          <w:p>
            <w:pPr>
              <w:pStyle w:val="Compact"/>
            </w:pPr>
            <w:r>
              <w:t xml:space="preserve">AFFO/share</w:t>
            </w:r>
          </w:p>
        </w:tc>
        <w:tc>
          <w:tcPr/>
          <w:p>
            <w:pPr>
              <w:pStyle w:val="Compact"/>
              <w:jc w:val="right"/>
            </w:pPr>
            <w:r>
              <w:rPr>
                <w:b/>
                <w:bCs/>
              </w:rPr>
              <w:t xml:space="preserve">$0.61</w:t>
            </w:r>
          </w:p>
        </w:tc>
        <w:tc>
          <w:tcPr/>
          <w:p>
            <w:pPr>
              <w:pStyle w:val="Compact"/>
              <w:jc w:val="right"/>
            </w:pPr>
            <w:r>
              <w:rPr>
                <w:b/>
                <w:bCs/>
              </w:rPr>
              <w:t xml:space="preserve">+4.5%</w:t>
            </w:r>
          </w:p>
        </w:tc>
      </w:tr>
      <w:tr>
        <w:tc>
          <w:tcPr/>
          <w:p>
            <w:pPr>
              <w:pStyle w:val="Compact"/>
            </w:pPr>
            <w:r>
              <w:t xml:space="preserve">Adjusted EBITDA</w:t>
            </w:r>
          </w:p>
        </w:tc>
        <w:tc>
          <w:tcPr/>
          <w:p>
            <w:pPr>
              <w:pStyle w:val="Compact"/>
              <w:jc w:val="right"/>
            </w:pPr>
            <w:r>
              <w:t xml:space="preserve">$838.2M</w:t>
            </w:r>
          </w:p>
        </w:tc>
        <w:tc>
          <w:tcPr/>
          <w:p>
            <w:pPr>
              <w:pStyle w:val="Compact"/>
              <w:jc w:val="right"/>
            </w:pPr>
            <w:r>
              <w:t xml:space="preserve">+4.5%</w:t>
            </w:r>
          </w:p>
        </w:tc>
      </w:tr>
    </w:tbl>
    <w:p>
      <w:pPr>
        <w:pStyle w:val="BodyText"/>
      </w:pPr>
      <w:r>
        <w:t xml:space="preserve">GAAP net income was unusually elevated at</w:t>
      </w:r>
      <w:r>
        <w:t xml:space="preserve"> </w:t>
      </w:r>
      <w:r>
        <w:rPr>
          <w:b/>
          <w:bCs/>
        </w:rPr>
        <w:t xml:space="preserve">$0.82 per share</w:t>
      </w:r>
      <w:r>
        <w:t xml:space="preserve">, primarily because of a favorable, non-cash change in the CECL credit-loss allowance. That item can materially swing quarter to quarter and should not drive the investment interpretation.</w:t>
      </w:r>
    </w:p>
    <w:p>
      <w:pPr>
        <w:pStyle w:val="BodyText"/>
      </w:pPr>
      <w:r>
        <w:rPr>
          <w:b/>
          <w:bCs/>
        </w:rPr>
        <w:t xml:space="preserve">Preview expectation:</w:t>
      </w:r>
      <w:r>
        <w:t xml:space="preserve"> </w:t>
      </w:r>
      <w:r>
        <w:t xml:space="preserve">A clean quarter would show AFFO/share around the recent</w:t>
      </w:r>
      <w:r>
        <w:t xml:space="preserve"> </w:t>
      </w:r>
      <m:oMath>
        <m:r>
          <m:t>0.60</m:t>
        </m:r>
        <m:r>
          <m:rPr>
            <m:sty m:val="p"/>
          </m:rPr>
          <m:t>–</m:t>
        </m:r>
      </m:oMath>
      <w:r>
        <w:t xml:space="preserve">0.61 quarterly run rate, with the beginning of Golden’s contribution partly offset by the roughly 24.3 million VICI shares issued in the transaction and any higher financing expense.</w:t>
      </w:r>
    </w:p>
    <w:p>
      <w:r>
        <w:pict>
          <v:rect style="width:0;height:1.5pt" o:hralign="center" o:hrstd="t" o:hr="t"/>
        </w:pict>
      </w:r>
    </w:p>
    <w:bookmarkEnd w:id="10"/>
    <w:bookmarkStart w:id="11" w:name="Xbec7df6ec77ac4c737727bb97e167fb041a834c"/>
    <w:p>
      <w:pPr>
        <w:pStyle w:val="Heading3"/>
      </w:pPr>
      <w:r>
        <w:t xml:space="preserve">2. Golden Entertainment should provide the clearest Q2 growth contribution</w:t>
      </w:r>
    </w:p>
    <w:p>
      <w:pPr>
        <w:pStyle w:val="FirstParagraph"/>
      </w:pPr>
      <w:r>
        <w:t xml:space="preserve">The Golden sale-leaseback was expected to close around April 30 and adds:</w:t>
      </w:r>
    </w:p>
    <w:p>
      <w:pPr>
        <w:pStyle w:val="Compact"/>
        <w:numPr>
          <w:ilvl w:val="0"/>
          <w:numId w:val="1001"/>
        </w:numPr>
      </w:pPr>
      <w:r>
        <w:rPr>
          <w:b/>
          <w:bCs/>
        </w:rPr>
        <w:t xml:space="preserve">Seven casino properties</w:t>
      </w:r>
    </w:p>
    <w:p>
      <w:pPr>
        <w:pStyle w:val="Compact"/>
        <w:numPr>
          <w:ilvl w:val="0"/>
          <w:numId w:val="1001"/>
        </w:numPr>
      </w:pPr>
      <w:r>
        <w:rPr>
          <w:b/>
          <w:bCs/>
        </w:rPr>
        <w:t xml:space="preserve">$87 million annual initial rent</w:t>
      </w:r>
    </w:p>
    <w:p>
      <w:pPr>
        <w:pStyle w:val="Compact"/>
        <w:numPr>
          <w:ilvl w:val="0"/>
          <w:numId w:val="1001"/>
        </w:numPr>
      </w:pPr>
      <w:r>
        <w:rPr>
          <w:b/>
          <w:bCs/>
        </w:rPr>
        <w:t xml:space="preserve">7.5% acquisition cap rate</w:t>
      </w:r>
    </w:p>
    <w:p>
      <w:pPr>
        <w:pStyle w:val="Compact"/>
        <w:numPr>
          <w:ilvl w:val="0"/>
          <w:numId w:val="1001"/>
        </w:numPr>
      </w:pPr>
      <w:r>
        <w:rPr>
          <w:b/>
          <w:bCs/>
        </w:rPr>
        <w:t xml:space="preserve">30-year initial lease term</w:t>
      </w:r>
      <w:r>
        <w:t xml:space="preserve">, plus four five-year renewal options</w:t>
      </w:r>
    </w:p>
    <w:p>
      <w:pPr>
        <w:pStyle w:val="Compact"/>
        <w:numPr>
          <w:ilvl w:val="0"/>
          <w:numId w:val="1001"/>
        </w:numPr>
      </w:pPr>
      <w:r>
        <w:rPr>
          <w:b/>
          <w:bCs/>
        </w:rPr>
        <w:t xml:space="preserve">2% annual escalators beginning in lease year three</w:t>
      </w:r>
    </w:p>
    <w:p>
      <w:pPr>
        <w:pStyle w:val="FirstParagraph"/>
      </w:pPr>
      <w:r>
        <w:t xml:space="preserve">Because the closing occurred near the beginning of Q2, the transaction should contribute for most of the quarter. The important question is not simply whether revenue rose, but whether management can demonstrate that the acquisition is tracking as expected on</w:t>
      </w:r>
      <w:r>
        <w:t xml:space="preserve"> </w:t>
      </w:r>
      <w:r>
        <w:rPr>
          <w:b/>
          <w:bCs/>
        </w:rPr>
        <w:t xml:space="preserve">AFFO per share</w:t>
      </w:r>
      <w:r>
        <w:t xml:space="preserve">, leverage, and tenant-level coverage.</w:t>
      </w:r>
    </w:p>
    <w:p>
      <w:pPr>
        <w:pStyle w:val="BodyText"/>
      </w:pPr>
      <w:r>
        <w:t xml:space="preserve">Golden also advances a broader strategy: VICI is adding exposure to the Las Vegas locals market and adding a new tenant relationship that management hopes can create future property-growth or acquisition opportunities.</w:t>
      </w:r>
    </w:p>
    <w:p>
      <w:pPr>
        <w:pStyle w:val="BodyText"/>
      </w:pPr>
      <w:r>
        <w:rPr>
          <w:b/>
          <w:bCs/>
        </w:rPr>
        <w:t xml:space="preserve">What to watch</w:t>
      </w:r>
    </w:p>
    <w:p>
      <w:pPr>
        <w:pStyle w:val="Compact"/>
        <w:numPr>
          <w:ilvl w:val="0"/>
          <w:numId w:val="1002"/>
        </w:numPr>
      </w:pPr>
      <w:r>
        <w:t xml:space="preserve">Confirmation of actual closing date and final consideration.</w:t>
      </w:r>
    </w:p>
    <w:p>
      <w:pPr>
        <w:pStyle w:val="Compact"/>
        <w:numPr>
          <w:ilvl w:val="0"/>
          <w:numId w:val="1002"/>
        </w:numPr>
      </w:pPr>
      <w:r>
        <w:t xml:space="preserve">Incremental Q2 contractual rent and AFFO contribution.</w:t>
      </w:r>
    </w:p>
    <w:p>
      <w:pPr>
        <w:pStyle w:val="Compact"/>
        <w:numPr>
          <w:ilvl w:val="0"/>
          <w:numId w:val="1002"/>
        </w:numPr>
      </w:pPr>
      <w:r>
        <w:t xml:space="preserve">Any early operating-color on the Golden portfolio and tenant credit profile.</w:t>
      </w:r>
    </w:p>
    <w:p>
      <w:pPr>
        <w:pStyle w:val="Compact"/>
        <w:numPr>
          <w:ilvl w:val="0"/>
          <w:numId w:val="1002"/>
        </w:numPr>
      </w:pPr>
      <w:r>
        <w:t xml:space="preserve">Updated pro forma leverage after the acquisition and equity issuance.</w:t>
      </w:r>
    </w:p>
    <w:p>
      <w:r>
        <w:pict>
          <v:rect style="width:0;height:1.5pt" o:hralign="center" o:hrstd="t" o:hr="t"/>
        </w:pict>
      </w:r>
    </w:p>
    <w:bookmarkEnd w:id="11"/>
    <w:bookmarkStart w:id="12" w:name="X97c885a80daa073536b2b63f3181b92d9a65e04"/>
    <w:p>
      <w:pPr>
        <w:pStyle w:val="Heading3"/>
      </w:pPr>
      <w:r>
        <w:t xml:space="preserve">3. Guidance is the real scorecard</w:t>
      </w:r>
    </w:p>
    <w:p>
      <w:pPr>
        <w:pStyle w:val="FirstParagraph"/>
      </w:pPr>
      <w:r>
        <w:t xml:space="preserve">VICI raised 2026 AFFO guidance in Q1 to:</w:t>
      </w:r>
    </w:p>
    <w:p>
      <w:pPr>
        <w:pStyle w:val="Compact"/>
        <w:numPr>
          <w:ilvl w:val="0"/>
          <w:numId w:val="1003"/>
        </w:numPr>
      </w:pPr>
      <m:oMath>
        <m:r>
          <m:t>2.665</m:t>
        </m:r>
        <m:r>
          <m:t>B</m:t>
        </m:r>
        <m:r>
          <m:rPr>
            <m:sty m:val="p"/>
          </m:rPr>
          <m:t>–</m:t>
        </m:r>
      </m:oMath>
      <w:r>
        <w:rPr>
          <w:b/>
          <w:bCs/>
        </w:rPr>
        <w:t xml:space="preserve">2.695B of AFFO</w:t>
      </w:r>
    </w:p>
    <w:p>
      <w:pPr>
        <w:pStyle w:val="Compact"/>
        <w:numPr>
          <w:ilvl w:val="0"/>
          <w:numId w:val="1003"/>
        </w:numPr>
      </w:pPr>
      <m:oMath>
        <m:r>
          <m:t>2.44</m:t>
        </m:r>
        <m:r>
          <m:rPr>
            <m:sty m:val="p"/>
          </m:rPr>
          <m:t>–</m:t>
        </m:r>
      </m:oMath>
      <w:r>
        <w:rPr>
          <w:b/>
          <w:bCs/>
        </w:rPr>
        <w:t xml:space="preserve">2.47 per diluted share</w:t>
      </w:r>
    </w:p>
    <w:p>
      <w:pPr>
        <w:pStyle w:val="FirstParagraph"/>
      </w:pPr>
      <w:r>
        <w:t xml:space="preserve">The per-share guidance is especially important because it incorporates a higher expected weighted-average share count of</w:t>
      </w:r>
      <w:r>
        <w:t xml:space="preserve"> </w:t>
      </w:r>
      <w:r>
        <w:rPr>
          <w:b/>
          <w:bCs/>
        </w:rPr>
        <w:t xml:space="preserve">1.091 billion shares</w:t>
      </w:r>
      <w:r>
        <w:t xml:space="preserve">, versus approximately 1.068 billion diluted shares in Q1.</w:t>
      </w:r>
    </w:p>
    <w:p>
      <w:pPr>
        <w:pStyle w:val="BodyText"/>
      </w:pPr>
      <w:r>
        <w:t xml:space="preserve">At the midpoint, annual guidance implies roughly</w:t>
      </w:r>
      <w:r>
        <w:t xml:space="preserve"> </w:t>
      </w:r>
      <w:r>
        <w:rPr>
          <w:b/>
          <w:bCs/>
        </w:rPr>
        <w:t xml:space="preserve">$0.61 per share per quarter</w:t>
      </w:r>
      <w:r>
        <w:t xml:space="preserve">. Therefore:</w:t>
      </w:r>
    </w:p>
    <w:p>
      <w:pPr>
        <w:pStyle w:val="Compact"/>
        <w:numPr>
          <w:ilvl w:val="0"/>
          <w:numId w:val="1004"/>
        </w:numPr>
      </w:pPr>
      <w:r>
        <w:rPr>
          <w:b/>
          <w:bCs/>
        </w:rPr>
        <w:t xml:space="preserve">Reaffirmation</w:t>
      </w:r>
      <w:r>
        <w:t xml:space="preserve"> </w:t>
      </w:r>
      <w:r>
        <w:t xml:space="preserve">would be acceptable if Q2 execution is clean and acquisitions are progressing.</w:t>
      </w:r>
    </w:p>
    <w:p>
      <w:pPr>
        <w:pStyle w:val="Compact"/>
        <w:numPr>
          <w:ilvl w:val="0"/>
          <w:numId w:val="1004"/>
        </w:numPr>
      </w:pPr>
      <w:r>
        <w:rPr>
          <w:b/>
          <w:bCs/>
        </w:rPr>
        <w:t xml:space="preserve">A raise</w:t>
      </w:r>
      <w:r>
        <w:t xml:space="preserve"> </w:t>
      </w:r>
      <w:r>
        <w:t xml:space="preserve">would be a positive signal that Golden, lending income, and organic escalators are running ahead of expectations.</w:t>
      </w:r>
    </w:p>
    <w:p>
      <w:pPr>
        <w:pStyle w:val="Compact"/>
        <w:numPr>
          <w:ilvl w:val="0"/>
          <w:numId w:val="1004"/>
        </w:numPr>
      </w:pPr>
      <w:r>
        <w:rPr>
          <w:b/>
          <w:bCs/>
        </w:rPr>
        <w:t xml:space="preserve">A cut or a cautious shift in tone</w:t>
      </w:r>
      <w:r>
        <w:t xml:space="preserve"> </w:t>
      </w:r>
      <w:r>
        <w:t xml:space="preserve">would matter disproportionately, given VICI’s appeal as a predictable dividend-growth REIT.</w:t>
      </w:r>
    </w:p>
    <w:p>
      <w:pPr>
        <w:pStyle w:val="FirstParagraph"/>
      </w:pPr>
      <w:r>
        <w:t xml:space="preserve">Investors should also parse whether the guidance continues to exclude any pending acquisition whose closing date is not yet announced. This treatment is particularly relevant for Gamehost.</w:t>
      </w:r>
    </w:p>
    <w:p>
      <w:r>
        <w:pict>
          <v:rect style="width:0;height:1.5pt" o:hralign="center" o:hrstd="t" o:hr="t"/>
        </w:pict>
      </w:r>
    </w:p>
    <w:bookmarkEnd w:id="12"/>
    <w:bookmarkEnd w:id="13"/>
    <w:bookmarkStart w:id="17" w:name="the-major-swing-factors"/>
    <w:p>
      <w:pPr>
        <w:pStyle w:val="Heading2"/>
      </w:pPr>
      <w:r>
        <w:t xml:space="preserve">The major swing factors</w:t>
      </w:r>
    </w:p>
    <w:bookmarkStart w:id="14" w:name="X3e461288bf7cd250badd104a14c2b488f0bcac1"/>
    <w:p>
      <w:pPr>
        <w:pStyle w:val="Heading3"/>
      </w:pPr>
      <w:r>
        <w:t xml:space="preserve">Gamehost/PURE: timing and funding matter more than headline size</w:t>
      </w:r>
    </w:p>
    <w:p>
      <w:pPr>
        <w:pStyle w:val="FirstParagraph"/>
      </w:pPr>
      <w:r>
        <w:t xml:space="preserve">VICI announced the acquisition of two Alberta casino assets and two adjoining limited-service hotels for approximately</w:t>
      </w:r>
      <w:r>
        <w:t xml:space="preserve"> </w:t>
      </w:r>
      <w:r>
        <w:rPr>
          <w:b/>
          <w:bCs/>
        </w:rPr>
        <w:t xml:space="preserve">C</w:t>
      </w:r>
      <m:oMath>
        <m:r>
          <m:t>200.6</m:t>
        </m:r>
        <m:r>
          <m:t>m</m:t>
        </m:r>
        <m:r>
          <m:t>i</m:t>
        </m:r>
        <m:r>
          <m:t>l</m:t>
        </m:r>
        <m:r>
          <m:t>l</m:t>
        </m:r>
        <m:r>
          <m:t>i</m:t>
        </m:r>
        <m:r>
          <m:t>o</m:t>
        </m:r>
        <m:r>
          <m:t>n</m:t>
        </m:r>
        <m:r>
          <m:rPr>
            <m:sty m:val="p"/>
          </m:rPr>
          <m:t>/</m:t>
        </m:r>
        <m:r>
          <m:t>U</m:t>
        </m:r>
        <m:r>
          <m:t>S</m:t>
        </m:r>
      </m:oMath>
      <w:r>
        <w:rPr>
          <w:b/>
          <w:bCs/>
        </w:rPr>
        <w:t xml:space="preserve">144 million</w:t>
      </w:r>
      <w:r>
        <w:t xml:space="preserve">. The deal would add approximately</w:t>
      </w:r>
      <w:r>
        <w:t xml:space="preserve"> </w:t>
      </w:r>
      <w:r>
        <w:rPr>
          <w:b/>
          <w:bCs/>
        </w:rPr>
        <w:t xml:space="preserve">C</w:t>
      </w:r>
      <m:oMath>
        <m:r>
          <m:t>16.1</m:t>
        </m:r>
        <m:r>
          <m:t>m</m:t>
        </m:r>
        <m:r>
          <m:t>i</m:t>
        </m:r>
        <m:r>
          <m:t>l</m:t>
        </m:r>
        <m:r>
          <m:t>l</m:t>
        </m:r>
        <m:r>
          <m:t>i</m:t>
        </m:r>
        <m:r>
          <m:t>o</m:t>
        </m:r>
        <m:r>
          <m:t>n</m:t>
        </m:r>
        <m:r>
          <m:rPr>
            <m:sty m:val="p"/>
          </m:rPr>
          <m:t>/</m:t>
        </m:r>
        <m:r>
          <m:t>U</m:t>
        </m:r>
        <m:r>
          <m:t>S</m:t>
        </m:r>
      </m:oMath>
      <w:r>
        <w:rPr>
          <w:b/>
          <w:bCs/>
        </w:rPr>
        <w:t xml:space="preserve">11.6 million of annual rent</w:t>
      </w:r>
      <w:r>
        <w:t xml:space="preserve">, implying an</w:t>
      </w:r>
      <w:r>
        <w:t xml:space="preserve"> </w:t>
      </w:r>
      <w:r>
        <w:rPr>
          <w:b/>
          <w:bCs/>
        </w:rPr>
        <w:t xml:space="preserve">8.0% acquisition cap rate</w:t>
      </w:r>
      <w:r>
        <w:t xml:space="preserve">, to the existing PURE master lease.</w:t>
      </w:r>
    </w:p>
    <w:p>
      <w:pPr>
        <w:pStyle w:val="BodyText"/>
      </w:pPr>
      <w:r>
        <w:t xml:space="preserve">The transaction had been expected to close in mid-2026. Q2 could therefore include one of three outcomes:</w:t>
      </w:r>
    </w:p>
    <w:p>
      <w:pPr>
        <w:pStyle w:val="Compact"/>
        <w:numPr>
          <w:ilvl w:val="0"/>
          <w:numId w:val="1005"/>
        </w:numPr>
      </w:pPr>
      <w:r>
        <w:rPr>
          <w:b/>
          <w:bCs/>
        </w:rPr>
        <w:t xml:space="preserve">Closed early enough to contribute modest Q2 income</w:t>
      </w:r>
      <w:r>
        <w:t xml:space="preserve"> </w:t>
      </w:r>
      <w:r>
        <w:t xml:space="preserve">— favorable.</w:t>
      </w:r>
    </w:p>
    <w:p>
      <w:pPr>
        <w:pStyle w:val="Compact"/>
        <w:numPr>
          <w:ilvl w:val="0"/>
          <w:numId w:val="1005"/>
        </w:numPr>
      </w:pPr>
      <w:r>
        <w:rPr>
          <w:b/>
          <w:bCs/>
        </w:rPr>
        <w:t xml:space="preserve">Closed after quarter-end but still on schedule</w:t>
      </w:r>
      <w:r>
        <w:t xml:space="preserve"> </w:t>
      </w:r>
      <w:r>
        <w:t xml:space="preserve">— mostly neutral.</w:t>
      </w:r>
    </w:p>
    <w:p>
      <w:pPr>
        <w:pStyle w:val="Compact"/>
        <w:numPr>
          <w:ilvl w:val="0"/>
          <w:numId w:val="1005"/>
        </w:numPr>
      </w:pPr>
      <w:r>
        <w:rPr>
          <w:b/>
          <w:bCs/>
        </w:rPr>
        <w:t xml:space="preserve">Delayed on conditions or approvals</w:t>
      </w:r>
      <w:r>
        <w:t xml:space="preserve"> </w:t>
      </w:r>
      <w:r>
        <w:t xml:space="preserve">— a modest negative for the growth narrative.</w:t>
      </w:r>
    </w:p>
    <w:p>
      <w:pPr>
        <w:pStyle w:val="FirstParagraph"/>
      </w:pPr>
      <w:r>
        <w:t xml:space="preserve">The economics are attractive on paper, but the financial impact is small relative with Golden. More importantly, a successful close would deepen VICI’s relationship with Indigenous Gaming Partners and supports its international expansion thesis.</w:t>
      </w:r>
    </w:p>
    <w:p>
      <w:r>
        <w:pict>
          <v:rect style="width:0;height:1.5pt" o:hralign="center" o:hrstd="t" o:hr="t"/>
        </w:pict>
      </w:r>
    </w:p>
    <w:bookmarkEnd w:id="14"/>
    <w:bookmarkStart w:id="15" w:name="Xe7247206fec5444af8972f5f9dc3a8b81212754"/>
    <w:p>
      <w:pPr>
        <w:pStyle w:val="Heading3"/>
      </w:pPr>
      <w:r>
        <w:t xml:space="preserve">One Beverly Hills: attractive return potential, but rising credit and construction exposure</w:t>
      </w:r>
    </w:p>
    <w:p>
      <w:pPr>
        <w:pStyle w:val="FirstParagraph"/>
      </w:pPr>
      <w:r>
        <w:t xml:space="preserve">VICI expanded its commitment to the One Beverly Hills construction financing to</w:t>
      </w:r>
      <w:r>
        <w:t xml:space="preserve"> </w:t>
      </w:r>
      <m:oMath>
        <m:r>
          <m:t>1.5</m:t>
        </m:r>
        <m:r>
          <m:t>b</m:t>
        </m:r>
        <m:r>
          <m:t>i</m:t>
        </m:r>
        <m:r>
          <m:t>l</m:t>
        </m:r>
        <m:r>
          <m:t>l</m:t>
        </m:r>
        <m:r>
          <m:t>i</m:t>
        </m:r>
        <m:r>
          <m:t>o</m:t>
        </m:r>
        <m:r>
          <m:t>n</m:t>
        </m:r>
        <m:r>
          <m:rPr>
            <m:sty m:val="p"/>
          </m:rPr>
          <m:t>*</m:t>
        </m:r>
        <m:r>
          <m:rPr>
            <m:sty m:val="p"/>
          </m:rPr>
          <m:t>*</m:t>
        </m:r>
        <m:r>
          <m:rPr>
            <m:sty m:val="p"/>
          </m:rPr>
          <m:t>,</m:t>
        </m:r>
        <m:r>
          <m:t>i</m:t>
        </m:r>
        <m:r>
          <m:t>n</m:t>
        </m:r>
        <m:r>
          <m:t>i</m:t>
        </m:r>
        <m:r>
          <m:t>t</m:t>
        </m:r>
        <m:r>
          <m:t>i</m:t>
        </m:r>
        <m:r>
          <m:t>a</m:t>
        </m:r>
        <m:r>
          <m:t>l</m:t>
        </m:r>
        <m:r>
          <m:t>l</m:t>
        </m:r>
        <m:r>
          <m:t>y</m:t>
        </m:r>
        <m:r>
          <m:t>f</m:t>
        </m:r>
        <m:r>
          <m:t>u</m:t>
        </m:r>
        <m:r>
          <m:t>n</m:t>
        </m:r>
        <m:r>
          <m:t>d</m:t>
        </m:r>
        <m:r>
          <m:t>i</m:t>
        </m:r>
        <m:r>
          <m:t>n</m:t>
        </m:r>
        <m:r>
          <m:t>g</m:t>
        </m:r>
        <m:r>
          <m:rPr>
            <m:sty m:val="p"/>
          </m:rPr>
          <m:t>*</m:t>
        </m:r>
        <m:r>
          <m:rPr>
            <m:sty m:val="p"/>
          </m:rPr>
          <m:t>*</m:t>
        </m:r>
      </m:oMath>
      <w:r>
        <w:rPr>
          <w:b/>
          <w:bCs/>
        </w:rPr>
        <w:t xml:space="preserve">650 million</w:t>
      </w:r>
      <w:r>
        <w:t xml:space="preserve">. This is a material expansion of the company’s lending book and should produce incremental interest income as capital is deployed.</w:t>
      </w:r>
    </w:p>
    <w:p>
      <w:pPr>
        <w:pStyle w:val="BodyText"/>
      </w:pPr>
      <w:r>
        <w:t xml:space="preserve">The opportunity is strategic: VICI is building a broader relationship with Cain and Eldridge and gaining exposure to an ultra-luxury experiential development scheduled for phased delivery beginning in 2028.</w:t>
      </w:r>
    </w:p>
    <w:p>
      <w:pPr>
        <w:pStyle w:val="BodyText"/>
      </w:pPr>
      <w:r>
        <w:t xml:space="preserve">But this is also an area where investors should demand detail:</w:t>
      </w:r>
    </w:p>
    <w:p>
      <w:pPr>
        <w:pStyle w:val="Compact"/>
        <w:numPr>
          <w:ilvl w:val="0"/>
          <w:numId w:val="1006"/>
        </w:numPr>
      </w:pPr>
      <w:r>
        <w:t xml:space="preserve">How much has been funded through June 30?</w:t>
      </w:r>
    </w:p>
    <w:p>
      <w:pPr>
        <w:pStyle w:val="Compact"/>
        <w:numPr>
          <w:ilvl w:val="0"/>
          <w:numId w:val="1006"/>
        </w:numPr>
      </w:pPr>
      <w:r>
        <w:t xml:space="preserve">What is the expected pace of future draws?</w:t>
      </w:r>
    </w:p>
    <w:p>
      <w:pPr>
        <w:pStyle w:val="Compact"/>
        <w:numPr>
          <w:ilvl w:val="0"/>
          <w:numId w:val="1006"/>
        </w:numPr>
      </w:pPr>
      <w:r>
        <w:t xml:space="preserve">What return is being earned on deployed versus undrawn capital?</w:t>
      </w:r>
    </w:p>
    <w:p>
      <w:pPr>
        <w:pStyle w:val="Compact"/>
        <w:numPr>
          <w:ilvl w:val="0"/>
          <w:numId w:val="1006"/>
        </w:numPr>
      </w:pPr>
      <w:r>
        <w:t xml:space="preserve">How does construction and development risk alter VICI’s risk profile relative to traditional stabilized triple-net real estate?</w:t>
      </w:r>
    </w:p>
    <w:p>
      <w:pPr>
        <w:pStyle w:val="Compact"/>
        <w:numPr>
          <w:ilvl w:val="0"/>
          <w:numId w:val="1006"/>
        </w:numPr>
      </w:pPr>
      <w:r>
        <w:t xml:space="preserve">Does management see the loan portfolio remaining in the high-single digits as a percentage of assets, or growing further?</w:t>
      </w:r>
    </w:p>
    <w:p>
      <w:pPr>
        <w:pStyle w:val="FirstParagraph"/>
      </w:pPr>
      <w:r>
        <w:t xml:space="preserve">The lending book offers higher yields—VICI reported a</w:t>
      </w:r>
      <w:r>
        <w:t xml:space="preserve"> </w:t>
      </w:r>
      <w:r>
        <w:rPr>
          <w:b/>
          <w:bCs/>
        </w:rPr>
        <w:t xml:space="preserve">9.2% blended rate</w:t>
      </w:r>
      <w:r>
        <w:t xml:space="preserve"> </w:t>
      </w:r>
      <w:r>
        <w:t xml:space="preserve">on loans and securities as of Q1—but it carries different credit, duration, and execution risks than leased real estate.</w:t>
      </w:r>
    </w:p>
    <w:p>
      <w:r>
        <w:pict>
          <v:rect style="width:0;height:1.5pt" o:hralign="center" o:hrstd="t" o:hr="t"/>
        </w:pict>
      </w:r>
    </w:p>
    <w:bookmarkEnd w:id="15"/>
    <w:bookmarkStart w:id="16" w:name="X0b20faa62ff032f4add86bb80af5b63aac324ee"/>
    <w:p>
      <w:pPr>
        <w:pStyle w:val="Heading3"/>
      </w:pPr>
      <w:r>
        <w:t xml:space="preserve">Capital structure: refinancing is the key risk-management issue</w:t>
      </w:r>
    </w:p>
    <w:p>
      <w:pPr>
        <w:pStyle w:val="FirstParagraph"/>
      </w:pPr>
      <w:r>
        <w:t xml:space="preserve">VICI entered Q2 from a position of relative balance-sheet strength:</w:t>
      </w:r>
    </w:p>
    <w:p>
      <w:pPr>
        <w:pStyle w:val="Compact"/>
        <w:numPr>
          <w:ilvl w:val="0"/>
          <w:numId w:val="1007"/>
        </w:numPr>
      </w:pPr>
      <w:r>
        <w:rPr>
          <w:b/>
          <w:bCs/>
        </w:rPr>
        <w:t xml:space="preserve">Net leverage:</w:t>
      </w:r>
      <w:r>
        <w:t xml:space="preserve"> </w:t>
      </w:r>
      <w:r>
        <w:t xml:space="preserve">5.0x last-quarter annualized adjusted EBITDA</w:t>
      </w:r>
    </w:p>
    <w:p>
      <w:pPr>
        <w:pStyle w:val="Compact"/>
        <w:numPr>
          <w:ilvl w:val="0"/>
          <w:numId w:val="1007"/>
        </w:numPr>
      </w:pPr>
      <w:r>
        <w:rPr>
          <w:b/>
          <w:bCs/>
        </w:rPr>
        <w:t xml:space="preserve">Target leverage range:</w:t>
      </w:r>
      <w:r>
        <w:t xml:space="preserve"> </w:t>
      </w:r>
      <w:r>
        <w:t xml:space="preserve">5.0x–5.5x</w:t>
      </w:r>
    </w:p>
    <w:p>
      <w:pPr>
        <w:pStyle w:val="Compact"/>
        <w:numPr>
          <w:ilvl w:val="0"/>
          <w:numId w:val="1007"/>
        </w:numPr>
      </w:pPr>
      <w:r>
        <w:rPr>
          <w:b/>
          <w:bCs/>
        </w:rPr>
        <w:t xml:space="preserve">Total debt:</w:t>
      </w:r>
      <w:r>
        <w:t xml:space="preserve"> </w:t>
      </w:r>
      <w:r>
        <w:t xml:space="preserve">$17.1B at March 31</w:t>
      </w:r>
    </w:p>
    <w:p>
      <w:pPr>
        <w:pStyle w:val="Compact"/>
        <w:numPr>
          <w:ilvl w:val="0"/>
          <w:numId w:val="1007"/>
        </w:numPr>
      </w:pPr>
      <w:r>
        <w:rPr>
          <w:b/>
          <w:bCs/>
        </w:rPr>
        <w:t xml:space="preserve">Liquidity:</w:t>
      </w:r>
      <w:r>
        <w:t xml:space="preserve"> </w:t>
      </w:r>
      <w:r>
        <w:t xml:space="preserve">about $3.1B at quarter-end, including cash, forward-sale proceeds, and revolver capacity</w:t>
      </w:r>
    </w:p>
    <w:p>
      <w:pPr>
        <w:pStyle w:val="Compact"/>
        <w:numPr>
          <w:ilvl w:val="0"/>
          <w:numId w:val="1007"/>
        </w:numPr>
      </w:pPr>
      <w:r>
        <w:rPr>
          <w:b/>
          <w:bCs/>
        </w:rPr>
        <w:t xml:space="preserve">Fixed-rate debt:</w:t>
      </w:r>
      <w:r>
        <w:t xml:space="preserve"> </w:t>
      </w:r>
      <w:r>
        <w:t xml:space="preserve">99.2% of total debt</w:t>
      </w:r>
    </w:p>
    <w:p>
      <w:pPr>
        <w:pStyle w:val="Compact"/>
        <w:numPr>
          <w:ilvl w:val="0"/>
          <w:numId w:val="1007"/>
        </w:numPr>
      </w:pPr>
      <w:r>
        <w:rPr>
          <w:b/>
          <w:bCs/>
        </w:rPr>
        <w:t xml:space="preserve">Weighted-average effective interest rate:</w:t>
      </w:r>
      <w:r>
        <w:t xml:space="preserve"> </w:t>
      </w:r>
      <w:r>
        <w:t xml:space="preserve">4.46%</w:t>
      </w:r>
    </w:p>
    <w:p>
      <w:pPr>
        <w:pStyle w:val="Compact"/>
        <w:numPr>
          <w:ilvl w:val="0"/>
          <w:numId w:val="1007"/>
        </w:numPr>
      </w:pPr>
      <w:r>
        <w:rPr>
          <w:b/>
          <w:bCs/>
        </w:rPr>
        <w:t xml:space="preserve">Weighted-average maturity:</w:t>
      </w:r>
      <w:r>
        <w:t xml:space="preserve"> </w:t>
      </w:r>
      <w:r>
        <w:t xml:space="preserve">5.7 years</w:t>
      </w:r>
    </w:p>
    <w:p>
      <w:pPr>
        <w:pStyle w:val="FirstParagraph"/>
      </w:pPr>
      <w:r>
        <w:t xml:space="preserve">Still, VICI faces a meaningful refinancing wall:</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Maturity</w:t>
            </w:r>
          </w:p>
        </w:tc>
        <w:tc>
          <w:tcPr/>
          <w:p>
            <w:pPr>
              <w:pStyle w:val="Compact"/>
              <w:jc w:val="right"/>
            </w:pPr>
            <w:r>
              <w:t xml:space="preserve">Amount</w:t>
            </w:r>
          </w:p>
        </w:tc>
      </w:tr>
      <w:tr>
        <w:tc>
          <w:tcPr/>
          <w:p>
            <w:pPr>
              <w:pStyle w:val="Compact"/>
            </w:pPr>
            <w:r>
              <w:t xml:space="preserve">September 2026</w:t>
            </w:r>
          </w:p>
        </w:tc>
        <w:tc>
          <w:tcPr/>
          <w:p>
            <w:pPr>
              <w:pStyle w:val="Compact"/>
              <w:jc w:val="right"/>
            </w:pPr>
            <w:r>
              <w:t xml:space="preserve">$500M</w:t>
            </w:r>
          </w:p>
        </w:tc>
      </w:tr>
      <w:tr>
        <w:tc>
          <w:tcPr/>
          <w:p>
            <w:pPr>
              <w:pStyle w:val="Compact"/>
            </w:pPr>
            <w:r>
              <w:t xml:space="preserve">December 2026</w:t>
            </w:r>
          </w:p>
        </w:tc>
        <w:tc>
          <w:tcPr/>
          <w:p>
            <w:pPr>
              <w:pStyle w:val="Compact"/>
              <w:jc w:val="right"/>
            </w:pPr>
            <w:r>
              <w:t xml:space="preserve">$1.25B</w:t>
            </w:r>
          </w:p>
        </w:tc>
      </w:tr>
      <w:tr>
        <w:tc>
          <w:tcPr/>
          <w:p>
            <w:pPr>
              <w:pStyle w:val="Compact"/>
            </w:pPr>
            <w:r>
              <w:t xml:space="preserve">February 2027</w:t>
            </w:r>
          </w:p>
        </w:tc>
        <w:tc>
          <w:tcPr/>
          <w:p>
            <w:pPr>
              <w:pStyle w:val="Compact"/>
              <w:jc w:val="right"/>
            </w:pPr>
            <w:r>
              <w:t xml:space="preserve">$1.50B</w:t>
            </w:r>
          </w:p>
        </w:tc>
      </w:tr>
      <w:tr>
        <w:tc>
          <w:tcPr/>
          <w:p>
            <w:pPr>
              <w:pStyle w:val="Compact"/>
            </w:pPr>
            <w:r>
              <w:rPr>
                <w:b/>
                <w:bCs/>
              </w:rPr>
              <w:t xml:space="preserve">Total through February 2027</w:t>
            </w:r>
          </w:p>
        </w:tc>
        <w:tc>
          <w:tcPr/>
          <w:p>
            <w:pPr>
              <w:pStyle w:val="Compact"/>
              <w:jc w:val="right"/>
            </w:pPr>
            <w:r>
              <w:rPr>
                <w:b/>
                <w:bCs/>
              </w:rPr>
              <w:t xml:space="preserve">$3.25B</w:t>
            </w:r>
          </w:p>
        </w:tc>
      </w:tr>
    </w:tbl>
    <w:p>
      <w:pPr>
        <w:pStyle w:val="BodyText"/>
      </w:pPr>
      <w:r>
        <w:t xml:space="preserve">Management had already begun putting on forward-starting interest-rate swaps to hedge upcoming refinancings. The Q2 call should provide an update on how much refinancing risk has been hedged, the expected all-in cost of new debt, and whether management expects to use cash, revolver capacity, unsecured bonds, or alternative capital sources.</w:t>
      </w:r>
    </w:p>
    <w:p>
      <w:pPr>
        <w:pStyle w:val="BodyText"/>
      </w:pPr>
      <w:r>
        <w:rPr>
          <w:b/>
          <w:bCs/>
        </w:rPr>
        <w:t xml:space="preserve">The key investor question:</w:t>
      </w:r>
      <w:r>
        <w:t xml:space="preserve"> </w:t>
      </w:r>
      <w:r>
        <w:t xml:space="preserve">Can VICI preserve AFFO growth and dividend coverage as low-coupon debt matures into a potentially higher-rate refinancing environment?</w:t>
      </w:r>
    </w:p>
    <w:p>
      <w:r>
        <w:pict>
          <v:rect style="width:0;height:1.5pt" o:hralign="center" o:hrstd="t" o:hr="t"/>
        </w:pict>
      </w:r>
    </w:p>
    <w:bookmarkEnd w:id="16"/>
    <w:bookmarkEnd w:id="17"/>
    <w:bookmarkStart w:id="18" w:name="portfolio-and-tenant-credit-watch-list"/>
    <w:p>
      <w:pPr>
        <w:pStyle w:val="Heading2"/>
      </w:pPr>
      <w:r>
        <w:t xml:space="preserve">Portfolio and tenant-credit watch list</w:t>
      </w:r>
    </w:p>
    <w:p>
      <w:pPr>
        <w:pStyle w:val="FirstParagraph"/>
      </w:pPr>
      <w:r>
        <w:t xml:space="preserve">VICI’s lease model provides unusually strong revenue visibility, but credit remains concentrated.</w:t>
      </w:r>
    </w:p>
    <w:p>
      <w:pPr>
        <w:pStyle w:val="BodyText"/>
      </w:pPr>
      <w:r>
        <w:t xml:space="preserve">As of the Q1 supplemental data, Caesars represented about</w:t>
      </w:r>
      <w:r>
        <w:t xml:space="preserve"> </w:t>
      </w:r>
      <w:r>
        <w:rPr>
          <w:b/>
          <w:bCs/>
        </w:rPr>
        <w:t xml:space="preserve">38%</w:t>
      </w:r>
      <w:r>
        <w:t xml:space="preserve"> </w:t>
      </w:r>
      <w:r>
        <w:t xml:space="preserve">of annualized contractual rent and MGM about</w:t>
      </w:r>
      <w:r>
        <w:t xml:space="preserve"> </w:t>
      </w:r>
      <w:r>
        <w:rPr>
          <w:b/>
          <w:bCs/>
        </w:rPr>
        <w:t xml:space="preserve">32%</w:t>
      </w:r>
      <w:r>
        <w:t xml:space="preserve">. That means roughly 70% of rent is tied to two gaming operators.</w:t>
      </w:r>
    </w:p>
    <w:p>
      <w:pPr>
        <w:pStyle w:val="BodyText"/>
      </w:pPr>
      <w:r>
        <w:t xml:space="preserve">The portfolio’s strengths include:</w:t>
      </w:r>
    </w:p>
    <w:p>
      <w:pPr>
        <w:pStyle w:val="Compact"/>
        <w:numPr>
          <w:ilvl w:val="0"/>
          <w:numId w:val="1008"/>
        </w:numPr>
      </w:pPr>
      <w:r>
        <w:rPr>
          <w:b/>
          <w:bCs/>
        </w:rPr>
        <w:t xml:space="preserve">100% occupancy</w:t>
      </w:r>
    </w:p>
    <w:p>
      <w:pPr>
        <w:pStyle w:val="Compact"/>
        <w:numPr>
          <w:ilvl w:val="0"/>
          <w:numId w:val="1008"/>
        </w:numPr>
      </w:pPr>
      <w:r>
        <w:t xml:space="preserve">Approximately</w:t>
      </w:r>
      <w:r>
        <w:t xml:space="preserve"> </w:t>
      </w:r>
      <w:r>
        <w:rPr>
          <w:b/>
          <w:bCs/>
        </w:rPr>
        <w:t xml:space="preserve">39.7-year weighted-average lease term</w:t>
      </w:r>
    </w:p>
    <w:p>
      <w:pPr>
        <w:pStyle w:val="Compact"/>
        <w:numPr>
          <w:ilvl w:val="0"/>
          <w:numId w:val="1008"/>
        </w:numPr>
      </w:pPr>
      <w:r>
        <w:t xml:space="preserve">Contractual annual escalators generally tied to fixed percentages or CPI</w:t>
      </w:r>
    </w:p>
    <w:p>
      <w:pPr>
        <w:pStyle w:val="Compact"/>
        <w:numPr>
          <w:ilvl w:val="0"/>
          <w:numId w:val="1008"/>
        </w:numPr>
      </w:pPr>
      <w:r>
        <w:t xml:space="preserve">Diversification across 15 tenants after recent transactions</w:t>
      </w:r>
    </w:p>
    <w:p>
      <w:pPr>
        <w:pStyle w:val="Compact"/>
        <w:numPr>
          <w:ilvl w:val="0"/>
          <w:numId w:val="1008"/>
        </w:numPr>
      </w:pPr>
      <w:r>
        <w:t xml:space="preserve">Long-term, master-lease structures that reduce property-by-property volatility</w:t>
      </w:r>
    </w:p>
    <w:p>
      <w:pPr>
        <w:pStyle w:val="FirstParagraph"/>
      </w:pPr>
      <w:r>
        <w:t xml:space="preserve">But the Q2 call should offer color on the underlying demand environment at the operators—especially in Las Vegas—and on whether regional gaming remains stable.</w:t>
      </w:r>
    </w:p>
    <w:p>
      <w:pPr>
        <w:pStyle w:val="BodyText"/>
      </w:pPr>
      <w:r>
        <w:t xml:space="preserve">Management’s Q1 message was cautiously constructive: regional markets were steady, while Las Vegas was in a transition period but supported by convention activity, major entertainment and sports events, operator promotional activity, and ongoing capital investment at the properties.</w:t>
      </w:r>
    </w:p>
    <w:p>
      <w:pPr>
        <w:pStyle w:val="BodyText"/>
      </w:pPr>
      <w:r>
        <w:rPr>
          <w:b/>
          <w:bCs/>
        </w:rPr>
        <w:t xml:space="preserve">Investor focus:</w:t>
      </w:r>
      <w:r>
        <w:t xml:space="preserve"> </w:t>
      </w:r>
      <w:r>
        <w:t xml:space="preserve">Tenant commentary may not immediately change VICI’s contractual rent, but it affects long-term credit quality, lease coverage, and the market’s willingness to value VICI as a low-risk compounder.</w:t>
      </w:r>
    </w:p>
    <w:p>
      <w:r>
        <w:pict>
          <v:rect style="width:0;height:1.5pt" o:hralign="center" o:hrstd="t" o:hr="t"/>
        </w:pict>
      </w:r>
    </w:p>
    <w:bookmarkEnd w:id="18"/>
    <w:bookmarkStart w:id="19" w:name="X31fcc4f0e482272f022cb9a0857cb480d8c53f6"/>
    <w:p>
      <w:pPr>
        <w:pStyle w:val="Heading2"/>
      </w:pPr>
      <w:r>
        <w:t xml:space="preserve">Organic growth: Q2 is steady; the next CPI reset is the bigger item</w:t>
      </w:r>
    </w:p>
    <w:p>
      <w:pPr>
        <w:pStyle w:val="FirstParagraph"/>
      </w:pPr>
      <w:r>
        <w:t xml:space="preserve">The company’s embedded rent growth comes from contractual escalators. For the large Caesars leases, the CPI measurement period is</w:t>
      </w:r>
      <w:r>
        <w:t xml:space="preserve"> </w:t>
      </w:r>
      <w:r>
        <w:rPr>
          <w:b/>
          <w:bCs/>
        </w:rPr>
        <w:t xml:space="preserve">July through September</w:t>
      </w:r>
      <w:r>
        <w:t xml:space="preserve">, with the resulting rent reset effective</w:t>
      </w:r>
      <w:r>
        <w:t xml:space="preserve"> </w:t>
      </w:r>
      <w:r>
        <w:rPr>
          <w:b/>
          <w:bCs/>
        </w:rPr>
        <w:t xml:space="preserve">November 1</w:t>
      </w:r>
      <w:r>
        <w:t xml:space="preserve">.</w:t>
      </w:r>
    </w:p>
    <w:p>
      <w:pPr>
        <w:pStyle w:val="BodyText"/>
      </w:pPr>
      <w:r>
        <w:t xml:space="preserve">That means Q2 results should mostly reflect contractual escalators already in place—not a new inflation-driven step-up. Still, investors should listen for management’s early framing around:</w:t>
      </w:r>
    </w:p>
    <w:p>
      <w:pPr>
        <w:pStyle w:val="Compact"/>
        <w:numPr>
          <w:ilvl w:val="0"/>
          <w:numId w:val="1009"/>
        </w:numPr>
      </w:pPr>
      <w:r>
        <w:t xml:space="preserve">The expected November 2026 Caesars rent reset;</w:t>
      </w:r>
    </w:p>
    <w:p>
      <w:pPr>
        <w:pStyle w:val="Compact"/>
        <w:numPr>
          <w:ilvl w:val="0"/>
          <w:numId w:val="1009"/>
        </w:numPr>
      </w:pPr>
      <w:r>
        <w:t xml:space="preserve">Whether CPI-linked escalators are likely to clear their contractual floors;</w:t>
      </w:r>
    </w:p>
    <w:p>
      <w:pPr>
        <w:pStyle w:val="Compact"/>
        <w:numPr>
          <w:ilvl w:val="0"/>
          <w:numId w:val="1009"/>
        </w:numPr>
      </w:pPr>
      <w:r>
        <w:t xml:space="preserve">Rent growth visibility for 2027;</w:t>
      </w:r>
    </w:p>
    <w:p>
      <w:pPr>
        <w:pStyle w:val="Compact"/>
        <w:numPr>
          <w:ilvl w:val="0"/>
          <w:numId w:val="1009"/>
        </w:numPr>
      </w:pPr>
      <w:r>
        <w:t xml:space="preserve">The extent to which annual guidance assumes only base escalators rather than upside from CPI.</w:t>
      </w:r>
    </w:p>
    <w:p>
      <w:r>
        <w:pict>
          <v:rect style="width:0;height:1.5pt" o:hralign="center" o:hrstd="t" o:hr="t"/>
        </w:pict>
      </w:r>
    </w:p>
    <w:bookmarkEnd w:id="19"/>
    <w:bookmarkStart w:id="20" w:name="X1952af9d031814e0736207036727767f84c43b1"/>
    <w:p>
      <w:pPr>
        <w:pStyle w:val="Heading2"/>
      </w:pPr>
      <w:r>
        <w:t xml:space="preserve">Dividend: secure today, but growth rate remains a question</w:t>
      </w:r>
    </w:p>
    <w:p>
      <w:pPr>
        <w:pStyle w:val="FirstParagraph"/>
      </w:pPr>
      <w:r>
        <w:t xml:space="preserve">VICI’s quarterly dividend was</w:t>
      </w:r>
      <w:r>
        <w:t xml:space="preserve"> </w:t>
      </w:r>
      <m:oMath>
        <m:r>
          <m:t>0.45</m:t>
        </m:r>
        <m:r>
          <m:t>p</m:t>
        </m:r>
        <m:r>
          <m:t>e</m:t>
        </m:r>
        <m:r>
          <m:t>r</m:t>
        </m:r>
        <m:r>
          <m:t>s</m:t>
        </m:r>
        <m:r>
          <m:t>h</m:t>
        </m:r>
        <m:r>
          <m:t>a</m:t>
        </m:r>
        <m:r>
          <m:t>r</m:t>
        </m:r>
        <m:r>
          <m:t>e</m:t>
        </m:r>
        <m:r>
          <m:rPr>
            <m:sty m:val="p"/>
          </m:rPr>
          <m:t>*</m:t>
        </m:r>
        <m:r>
          <m:rPr>
            <m:sty m:val="p"/>
          </m:rPr>
          <m:t>*</m:t>
        </m:r>
        <m:r>
          <m:t>i</m:t>
        </m:r>
        <m:r>
          <m:t>n</m:t>
        </m:r>
        <m:r>
          <m:t>Q</m:t>
        </m:r>
        <m:r>
          <m:t>1</m:t>
        </m:r>
        <m:r>
          <m:rPr>
            <m:sty m:val="p"/>
          </m:rPr>
          <m:t>,</m:t>
        </m:r>
        <m:r>
          <m:t>o</m:t>
        </m:r>
        <m:r>
          <m:t>r</m:t>
        </m:r>
        <m:r>
          <m:rPr>
            <m:sty m:val="p"/>
          </m:rPr>
          <m:t>*</m:t>
        </m:r>
        <m:r>
          <m:rPr>
            <m:sty m:val="p"/>
          </m:rPr>
          <m:t>*</m:t>
        </m:r>
      </m:oMath>
      <w:r>
        <w:rPr>
          <w:b/>
          <w:bCs/>
        </w:rPr>
        <w:t xml:space="preserve">1.80 annualized</w:t>
      </w:r>
      <w:r>
        <w:t xml:space="preserve">. Management characterized its AFFO payout ratio as approximately</w:t>
      </w:r>
      <w:r>
        <w:t xml:space="preserve"> </w:t>
      </w:r>
      <w:r>
        <w:rPr>
          <w:b/>
          <w:bCs/>
        </w:rPr>
        <w:t xml:space="preserve">75%</w:t>
      </w:r>
      <w:r>
        <w:t xml:space="preserve"> </w:t>
      </w:r>
      <w:r>
        <w:t xml:space="preserve">and emphasized the intention to continue its annual dividend-growth record.</w:t>
      </w:r>
    </w:p>
    <w:p>
      <w:pPr>
        <w:pStyle w:val="BodyText"/>
      </w:pPr>
      <w:r>
        <w:t xml:space="preserve">The dividend is well supported by recurring lease cash flows, but the next phase of dividend growth will depend on:</w:t>
      </w:r>
    </w:p>
    <w:p>
      <w:pPr>
        <w:pStyle w:val="Compact"/>
        <w:numPr>
          <w:ilvl w:val="0"/>
          <w:numId w:val="1010"/>
        </w:numPr>
      </w:pPr>
      <w:r>
        <w:t xml:space="preserve">AFFO/share growth after dilution and refinancing;</w:t>
      </w:r>
    </w:p>
    <w:p>
      <w:pPr>
        <w:pStyle w:val="Compact"/>
        <w:numPr>
          <w:ilvl w:val="0"/>
          <w:numId w:val="1010"/>
        </w:numPr>
      </w:pPr>
      <w:r>
        <w:t xml:space="preserve">Success deploying retained cash flow into accretive investments;</w:t>
      </w:r>
    </w:p>
    <w:p>
      <w:pPr>
        <w:pStyle w:val="Compact"/>
        <w:numPr>
          <w:ilvl w:val="0"/>
          <w:numId w:val="1010"/>
        </w:numPr>
      </w:pPr>
      <w:r>
        <w:t xml:space="preserve">Leverage discipline;</w:t>
      </w:r>
    </w:p>
    <w:p>
      <w:pPr>
        <w:pStyle w:val="Compact"/>
        <w:numPr>
          <w:ilvl w:val="0"/>
          <w:numId w:val="1010"/>
        </w:numPr>
      </w:pPr>
      <w:r>
        <w:t xml:space="preserve">The performance and credit quality of major tenants.</w:t>
      </w:r>
    </w:p>
    <w:p>
      <w:pPr>
        <w:pStyle w:val="FirstParagraph"/>
      </w:pPr>
      <w:r>
        <w:t xml:space="preserve">A dividend increase is not the central Q2 event, but commentary around payout ratio, growth cadence, and capital allocation will matter.</w:t>
      </w:r>
    </w:p>
    <w:p>
      <w:r>
        <w:pict>
          <v:rect style="width:0;height:1.5pt" o:hralign="center" o:hrstd="t" o:hr="t"/>
        </w:pict>
      </w:r>
    </w:p>
    <w:bookmarkEnd w:id="20"/>
    <w:bookmarkStart w:id="21" w:name="q2-scorecard"/>
    <w:p>
      <w:pPr>
        <w:pStyle w:val="Heading2"/>
      </w:pPr>
      <w:r>
        <w:t xml:space="preserve">Q2 scorecard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Topic</w:t>
            </w:r>
          </w:p>
        </w:tc>
        <w:tc>
          <w:tcPr/>
          <w:p>
            <w:pPr>
              <w:pStyle w:val="Compact"/>
            </w:pPr>
            <w:r>
              <w:t xml:space="preserve">Bullish outcome</w:t>
            </w:r>
          </w:p>
        </w:tc>
        <w:tc>
          <w:tcPr/>
          <w:p>
            <w:pPr>
              <w:pStyle w:val="Compact"/>
            </w:pPr>
            <w:r>
              <w:t xml:space="preserve">Neutral outcome</w:t>
            </w:r>
          </w:p>
        </w:tc>
        <w:tc>
          <w:tcPr/>
          <w:p>
            <w:pPr>
              <w:pStyle w:val="Compact"/>
            </w:pPr>
            <w:r>
              <w:t xml:space="preserve">Bearish outcome</w:t>
            </w:r>
          </w:p>
        </w:tc>
      </w:tr>
      <w:tr>
        <w:tc>
          <w:tcPr/>
          <w:p>
            <w:pPr>
              <w:pStyle w:val="Compact"/>
            </w:pPr>
            <w:r>
              <w:rPr>
                <w:b/>
                <w:bCs/>
              </w:rPr>
              <w:t xml:space="preserve">AFFO/share</w:t>
            </w:r>
          </w:p>
        </w:tc>
        <w:tc>
          <w:tcPr/>
          <w:p>
            <w:pPr>
              <w:pStyle w:val="Compact"/>
            </w:pPr>
            <w:r>
              <w:t xml:space="preserve">Above recent $0.61 run rate with clear acquisition contribution</w:t>
            </w:r>
          </w:p>
        </w:tc>
        <w:tc>
          <w:tcPr/>
          <w:p>
            <w:pPr>
              <w:pStyle w:val="Compact"/>
            </w:pPr>
            <w:r>
              <w:t xml:space="preserve">Around</w:t>
            </w:r>
            <w:r>
              <w:t xml:space="preserve"> </w:t>
            </w:r>
            <m:oMath>
              <m:r>
                <m:t>0.60</m:t>
              </m:r>
              <m:r>
                <m:rPr>
                  <m:sty m:val="p"/>
                </m:rPr>
                <m:t>–</m:t>
              </m:r>
            </m:oMath>
            <w:r>
              <w:t xml:space="preserve">0.61</w:t>
            </w:r>
          </w:p>
        </w:tc>
        <w:tc>
          <w:tcPr/>
          <w:p>
            <w:pPr>
              <w:pStyle w:val="Compact"/>
            </w:pPr>
            <w:r>
              <w:t xml:space="preserve">Below run rate without a clear timing explanation</w:t>
            </w:r>
          </w:p>
        </w:tc>
      </w:tr>
      <w:tr>
        <w:tc>
          <w:tcPr/>
          <w:p>
            <w:pPr>
              <w:pStyle w:val="Compact"/>
            </w:pPr>
            <w:r>
              <w:rPr>
                <w:b/>
                <w:bCs/>
              </w:rPr>
              <w:t xml:space="preserve">2026 guidance</w:t>
            </w:r>
          </w:p>
        </w:tc>
        <w:tc>
          <w:tcPr/>
          <w:p>
            <w:pPr>
              <w:pStyle w:val="Compact"/>
            </w:pPr>
            <w:r>
              <w:t xml:space="preserve">Raised</w:t>
            </w:r>
          </w:p>
        </w:tc>
        <w:tc>
          <w:tcPr/>
          <w:p>
            <w:pPr>
              <w:pStyle w:val="Compact"/>
            </w:pPr>
            <w:r>
              <w:t xml:space="preserve">Reaffirmed</w:t>
            </w:r>
          </w:p>
        </w:tc>
        <w:tc>
          <w:tcPr/>
          <w:p>
            <w:pPr>
              <w:pStyle w:val="Compact"/>
            </w:pPr>
            <w:r>
              <w:t xml:space="preserve">Cut, narrowed downward, or materially more cautious</w:t>
            </w:r>
          </w:p>
        </w:tc>
      </w:tr>
      <w:tr>
        <w:tc>
          <w:tcPr/>
          <w:p>
            <w:pPr>
              <w:pStyle w:val="Compact"/>
            </w:pPr>
            <w:r>
              <w:rPr>
                <w:b/>
                <w:bCs/>
              </w:rPr>
              <w:t xml:space="preserve">Golden acquisition</w:t>
            </w:r>
          </w:p>
        </w:tc>
        <w:tc>
          <w:tcPr/>
          <w:p>
            <w:pPr>
              <w:pStyle w:val="Compact"/>
            </w:pPr>
            <w:r>
              <w:t xml:space="preserve">Clearly accretive; leverage remains controlled</w:t>
            </w:r>
          </w:p>
        </w:tc>
        <w:tc>
          <w:tcPr/>
          <w:p>
            <w:pPr>
              <w:pStyle w:val="Compact"/>
            </w:pPr>
            <w:r>
              <w:t xml:space="preserve">Tracking to plan</w:t>
            </w:r>
          </w:p>
        </w:tc>
        <w:tc>
          <w:tcPr/>
          <w:p>
            <w:pPr>
              <w:pStyle w:val="Compact"/>
            </w:pPr>
            <w:r>
              <w:t xml:space="preserve">Integration, tenant, or financing concerns</w:t>
            </w:r>
          </w:p>
        </w:tc>
      </w:tr>
      <w:tr>
        <w:tc>
          <w:tcPr/>
          <w:p>
            <w:pPr>
              <w:pStyle w:val="Compact"/>
            </w:pPr>
            <w:r>
              <w:rPr>
                <w:b/>
                <w:bCs/>
              </w:rPr>
              <w:t xml:space="preserve">Gamehost</w:t>
            </w:r>
          </w:p>
        </w:tc>
        <w:tc>
          <w:tcPr/>
          <w:p>
            <w:pPr>
              <w:pStyle w:val="Compact"/>
            </w:pPr>
            <w:r>
              <w:t xml:space="preserve">Closed or firm near-term close date</w:t>
            </w:r>
          </w:p>
        </w:tc>
        <w:tc>
          <w:tcPr/>
          <w:p>
            <w:pPr>
              <w:pStyle w:val="Compact"/>
            </w:pPr>
            <w:r>
              <w:t xml:space="preserve">Still on schedule</w:t>
            </w:r>
          </w:p>
        </w:tc>
        <w:tc>
          <w:tcPr/>
          <w:p>
            <w:pPr>
              <w:pStyle w:val="Compact"/>
            </w:pPr>
            <w:r>
              <w:t xml:space="preserve">Delay or changed economics</w:t>
            </w:r>
          </w:p>
        </w:tc>
      </w:tr>
      <w:tr>
        <w:tc>
          <w:tcPr/>
          <w:p>
            <w:pPr>
              <w:pStyle w:val="Compact"/>
            </w:pPr>
            <w:r>
              <w:rPr>
                <w:b/>
                <w:bCs/>
              </w:rPr>
              <w:t xml:space="preserve">One Beverly Hills</w:t>
            </w:r>
          </w:p>
        </w:tc>
        <w:tc>
          <w:tcPr/>
          <w:p>
            <w:pPr>
              <w:pStyle w:val="Compact"/>
            </w:pPr>
            <w:r>
              <w:t xml:space="preserve">Disciplined draw pace and attractive returns</w:t>
            </w:r>
          </w:p>
        </w:tc>
        <w:tc>
          <w:tcPr/>
          <w:p>
            <w:pPr>
              <w:pStyle w:val="Compact"/>
            </w:pPr>
            <w:r>
              <w:t xml:space="preserve">Limited new information</w:t>
            </w:r>
          </w:p>
        </w:tc>
        <w:tc>
          <w:tcPr/>
          <w:p>
            <w:pPr>
              <w:pStyle w:val="Compact"/>
            </w:pPr>
            <w:r>
              <w:t xml:space="preserve">Larger-than-expected funding needs or concern around construction risk</w:t>
            </w:r>
          </w:p>
        </w:tc>
      </w:tr>
      <w:tr>
        <w:tc>
          <w:tcPr/>
          <w:p>
            <w:pPr>
              <w:pStyle w:val="Compact"/>
            </w:pPr>
            <w:r>
              <w:rPr>
                <w:b/>
                <w:bCs/>
              </w:rPr>
              <w:t xml:space="preserve">Refinancing</w:t>
            </w:r>
          </w:p>
        </w:tc>
        <w:tc>
          <w:tcPr/>
          <w:p>
            <w:pPr>
              <w:pStyle w:val="Compact"/>
            </w:pPr>
            <w:r>
              <w:t xml:space="preserve">Material hedging/refinancing progress at manageable rates</w:t>
            </w:r>
          </w:p>
        </w:tc>
        <w:tc>
          <w:tcPr/>
          <w:p>
            <w:pPr>
              <w:pStyle w:val="Compact"/>
            </w:pPr>
            <w:r>
              <w:t xml:space="preserve">Routine update</w:t>
            </w:r>
          </w:p>
        </w:tc>
        <w:tc>
          <w:tcPr/>
          <w:p>
            <w:pPr>
              <w:pStyle w:val="Compact"/>
            </w:pPr>
            <w:r>
              <w:t xml:space="preserve">Higher expected funding costs or leverage concerns</w:t>
            </w:r>
          </w:p>
        </w:tc>
      </w:tr>
      <w:tr>
        <w:tc>
          <w:tcPr/>
          <w:p>
            <w:pPr>
              <w:pStyle w:val="Compact"/>
            </w:pPr>
            <w:r>
              <w:rPr>
                <w:b/>
                <w:bCs/>
              </w:rPr>
              <w:t xml:space="preserve">Tenant trends</w:t>
            </w:r>
          </w:p>
        </w:tc>
        <w:tc>
          <w:tcPr/>
          <w:p>
            <w:pPr>
              <w:pStyle w:val="Compact"/>
            </w:pPr>
            <w:r>
              <w:t xml:space="preserve">Stable regionals and constructive Las Vegas commentary</w:t>
            </w:r>
          </w:p>
        </w:tc>
        <w:tc>
          <w:tcPr/>
          <w:p>
            <w:pPr>
              <w:pStyle w:val="Compact"/>
            </w:pPr>
            <w:r>
              <w:t xml:space="preserve">Mixed but manageable</w:t>
            </w:r>
          </w:p>
        </w:tc>
        <w:tc>
          <w:tcPr/>
          <w:p>
            <w:pPr>
              <w:pStyle w:val="Compact"/>
            </w:pPr>
            <w:r>
              <w:t xml:space="preserve">Meaningful deterioration in Las Vegas or tenant credit tone</w:t>
            </w:r>
          </w:p>
        </w:tc>
      </w:tr>
    </w:tbl>
    <w:p>
      <w:r>
        <w:pict>
          <v:rect style="width:0;height:1.5pt" o:hralign="center" o:hrstd="t" o:hr="t"/>
        </w:pict>
      </w:r>
    </w:p>
    <w:bookmarkEnd w:id="21"/>
    <w:bookmarkStart w:id="22" w:name="bottom-line"/>
    <w:p>
      <w:pPr>
        <w:pStyle w:val="Heading2"/>
      </w:pPr>
      <w:r>
        <w:t xml:space="preserve">Bottom line</w:t>
      </w:r>
    </w:p>
    <w:p>
      <w:pPr>
        <w:pStyle w:val="FirstParagraph"/>
      </w:pPr>
      <w:r>
        <w:t xml:space="preserve">VICI enters Q2 with a favorable setup for</w:t>
      </w:r>
      <w:r>
        <w:t xml:space="preserve"> </w:t>
      </w:r>
      <w:r>
        <w:rPr>
          <w:b/>
          <w:bCs/>
        </w:rPr>
        <w:t xml:space="preserve">modest, visible per-share growth</w:t>
      </w:r>
      <w:r>
        <w:t xml:space="preserve">, supported by fixed lease escalators, the Golden acquisition, and expanding lending income. The company’s model remains defensively structured, but the investment story is becoming more dependent on capital allocation: larger credit investments, acquisition funding, refinancing execution, and the ability to keep new deployment accretive after the Golden-related share issuance.</w:t>
      </w:r>
    </w:p>
    <w:p>
      <w:pPr>
        <w:pStyle w:val="BodyText"/>
      </w:pPr>
      <w:r>
        <w:t xml:space="preserve">For the report and call, the most important signals are:</w:t>
      </w:r>
    </w:p>
    <w:p>
      <w:pPr>
        <w:pStyle w:val="Compact"/>
        <w:numPr>
          <w:ilvl w:val="0"/>
          <w:numId w:val="1011"/>
        </w:numPr>
      </w:pPr>
      <w:r>
        <w:rPr>
          <w:b/>
          <w:bCs/>
        </w:rPr>
        <w:t xml:space="preserve">AFFO/share versus the</w:t>
      </w:r>
      <w:r>
        <w:rPr>
          <w:b/>
          <w:bCs/>
        </w:rPr>
        <w:t xml:space="preserve"> </w:t>
      </w:r>
      <m:oMath>
        <m:r>
          <m:t>0.60</m:t>
        </m:r>
        <m:r>
          <m:rPr>
            <m:sty m:val="p"/>
          </m:rPr>
          <m:t>–</m:t>
        </m:r>
      </m:oMath>
      <w:r>
        <w:rPr>
          <w:b/>
          <w:bCs/>
        </w:rPr>
        <w:t xml:space="preserve">0.61 recent run rate;</w:t>
      </w:r>
    </w:p>
    <w:p>
      <w:pPr>
        <w:pStyle w:val="Compact"/>
        <w:numPr>
          <w:ilvl w:val="0"/>
          <w:numId w:val="1011"/>
        </w:numPr>
      </w:pPr>
      <w:r>
        <w:rPr>
          <w:b/>
          <w:bCs/>
        </w:rPr>
        <w:t xml:space="preserve">Reaffirmation or increase of</w:t>
      </w:r>
      <w:r>
        <w:rPr>
          <w:b/>
          <w:bCs/>
        </w:rPr>
        <w:t xml:space="preserve"> </w:t>
      </w:r>
      <m:oMath>
        <m:r>
          <m:t>2.44</m:t>
        </m:r>
        <m:r>
          <m:rPr>
            <m:sty m:val="p"/>
          </m:rPr>
          <m:t>–</m:t>
        </m:r>
      </m:oMath>
      <w:r>
        <w:rPr>
          <w:b/>
          <w:bCs/>
        </w:rPr>
        <w:t xml:space="preserve">2.47 full-year AFFO/share guidance;</w:t>
      </w:r>
    </w:p>
    <w:p>
      <w:pPr>
        <w:pStyle w:val="Compact"/>
        <w:numPr>
          <w:ilvl w:val="0"/>
          <w:numId w:val="1011"/>
        </w:numPr>
      </w:pPr>
      <w:r>
        <w:rPr>
          <w:b/>
          <w:bCs/>
        </w:rPr>
        <w:t xml:space="preserve">Golden’s actual contribution and pro forma leverage;</w:t>
      </w:r>
    </w:p>
    <w:p>
      <w:pPr>
        <w:pStyle w:val="Compact"/>
        <w:numPr>
          <w:ilvl w:val="0"/>
          <w:numId w:val="1011"/>
        </w:numPr>
      </w:pPr>
      <w:r>
        <w:rPr>
          <w:b/>
          <w:bCs/>
        </w:rPr>
        <w:t xml:space="preserve">Gamehost closing status;</w:t>
      </w:r>
    </w:p>
    <w:p>
      <w:pPr>
        <w:pStyle w:val="Compact"/>
        <w:numPr>
          <w:ilvl w:val="0"/>
          <w:numId w:val="1011"/>
        </w:numPr>
      </w:pPr>
      <w:r>
        <w:rPr>
          <w:b/>
          <w:bCs/>
        </w:rPr>
        <w:t xml:space="preserve">One Beverly Hills funding, yield, and risk discipline;</w:t>
      </w:r>
    </w:p>
    <w:p>
      <w:pPr>
        <w:pStyle w:val="Compact"/>
        <w:numPr>
          <w:ilvl w:val="0"/>
          <w:numId w:val="1011"/>
        </w:numPr>
      </w:pPr>
      <w:r>
        <w:rPr>
          <w:b/>
          <w:bCs/>
        </w:rPr>
        <w:t xml:space="preserve">A credible plan for the $3.25B of maturities due through February 2027.</w:t>
      </w:r>
    </w:p>
    <w:p>
      <w:pPr>
        <w:pStyle w:val="FirstParagraph"/>
      </w:pPr>
      <w:r>
        <w:t xml:space="preserve">The cleanest bullish outcome is straightforward: VICI demonstrates that Golden is accretive, guidance remains intact or improves, leverage stays within its target range, and management confirms that future growth can be funded without compromising dividend growth or balance-sheet quality.</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2026-07-29T02:14:41Z</dcterms:created>
  <dcterms:modified xsi:type="dcterms:W3CDTF">2026-07-29T02:14:41Z</dcterms:modified>
</cp:coreProperties>
</file>

<file path=docProps/custom.xml><?xml version="1.0" encoding="utf-8"?>
<Properties xmlns="http://schemas.openxmlformats.org/officeDocument/2006/custom-properties" xmlns:vt="http://schemas.openxmlformats.org/officeDocument/2006/docPropsVTypes"/>
</file>