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VICI Properties Inc.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VICI Properties Inc. (NYSE: VICI)</w:t>
            </w:r>
          </w:p>
        </w:tc>
      </w:tr>
      <w:tr>
        <w:tc>
          <w:tcPr>
            <w:tcW w:type="dxa" w:w="4320"/>
          </w:tcPr>
          <w:p>
            <w:r>
              <w:rPr>
                <w:rFonts w:ascii="Calibri" w:hAnsi="Calibri"/>
                <w:b/>
                <w:sz w:val="22"/>
              </w:rPr>
              <w:t>Upcoming Earnings</w:t>
            </w:r>
          </w:p>
        </w:tc>
        <w:tc>
          <w:tcPr>
            <w:tcW w:type="dxa" w:w="4320"/>
          </w:tcPr>
          <w:p>
            <w:r>
              <w:rPr>
                <w:rFonts w:ascii="Calibri" w:hAnsi="Calibri"/>
                <w:sz w:val="22"/>
              </w:rPr>
              <w:t>July 29, 2026 (after market close)</w:t>
            </w:r>
          </w:p>
        </w:tc>
      </w:tr>
      <w:tr>
        <w:tc>
          <w:tcPr>
            <w:tcW w:type="dxa" w:w="4320"/>
          </w:tcPr>
          <w:p>
            <w:r>
              <w:rPr>
                <w:rFonts w:ascii="Calibri" w:hAnsi="Calibri"/>
                <w:b/>
                <w:sz w:val="22"/>
              </w:rPr>
              <w:t>Conference Call</w:t>
            </w:r>
          </w:p>
        </w:tc>
        <w:tc>
          <w:tcPr>
            <w:tcW w:type="dxa" w:w="4320"/>
          </w:tcPr>
          <w:p>
            <w:r>
              <w:rPr>
                <w:rFonts w:ascii="Calibri" w:hAnsi="Calibri"/>
                <w:sz w:val="22"/>
              </w:rPr>
              <w:t>July 30, 2026 at 10:00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Experiential REIT / Gaming &amp; Hospitality Real Estate</w:t>
            </w:r>
          </w:p>
        </w:tc>
      </w:tr>
      <w:tr>
        <w:tc>
          <w:tcPr>
            <w:tcW w:type="dxa" w:w="4320"/>
          </w:tcPr>
          <w:p>
            <w:r>
              <w:rPr>
                <w:rFonts w:ascii="Calibri" w:hAnsi="Calibri"/>
                <w:b/>
                <w:sz w:val="22"/>
              </w:rPr>
              <w:t>Primary Valuation KPI</w:t>
            </w:r>
          </w:p>
        </w:tc>
        <w:tc>
          <w:tcPr>
            <w:tcW w:type="dxa" w:w="4320"/>
          </w:tcPr>
          <w:p>
            <w:r>
              <w:rPr>
                <w:rFonts w:ascii="Calibri" w:hAnsi="Calibri"/>
                <w:sz w:val="22"/>
              </w:rPr>
              <w:t>AFFO per Share (P/AFFO multiple)</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AFFO/share of $0.615 sits just above the post-Q1 baseline of $0.616, implying a low bar, but the biggest swing factor is whether management can demonstrate continued capital deployment momentum and provide reassurance on the Caesars privatization overhang.</w:t>
      </w:r>
    </w:p>
    <w:p>
      <w:r>
        <w:rPr>
          <w:rFonts w:ascii="Calibri" w:hAnsi="Calibri"/>
          <w:color w:val="525866"/>
          <w:sz w:val="22"/>
        </w:rPr>
        <w:t xml:space="preserve">Heading into Q2 2026, VICI's bar looks achievable: consensus AFFO per share of </w:t>
      </w:r>
      <w:r>
        <w:rPr>
          <w:rFonts w:ascii="Calibri" w:hAnsi="Calibri"/>
          <w:b/>
          <w:color w:val="525866"/>
          <w:sz w:val="22"/>
        </w:rPr>
        <w:t>$0.615</w:t>
      </w:r>
      <w:r>
        <w:rPr>
          <w:rFonts w:ascii="Calibri" w:hAnsi="Calibri"/>
          <w:color w:val="525866"/>
          <w:sz w:val="22"/>
        </w:rPr>
        <w:t xml:space="preserve"> represents only a ~$0.005 step-up from Q1's reported $0.61, and the company's contractual rent escalators — CPI-linked on the Caesars leases with a July–September measurement period — provide a highly visible revenue floor. Management's tone on the Q1 call was </w:t>
      </w:r>
      <w:r>
        <w:rPr>
          <w:rFonts w:ascii="Calibri" w:hAnsi="Calibri"/>
          <w:b/>
          <w:color w:val="525866"/>
          <w:sz w:val="22"/>
        </w:rPr>
        <w:t>confident and strategic</w:t>
      </w:r>
      <w:r>
        <w:rPr>
          <w:rFonts w:ascii="Calibri" w:hAnsi="Calibri"/>
          <w:color w:val="525866"/>
          <w:sz w:val="22"/>
        </w:rPr>
        <w:t xml:space="preserve">, raising FY2026 AFFO guidance materially (new midpoint $2.455/share vs. prior midpoint $2.435/share) and flagging record consecutive quarters of $1B+ in new capital commitments; that posture has not shifted since. Estimate revisions have been essentially flat since the Q1 print — FY2026 AFFO consensus moved from $2.464 to $2.463, a rounding-level change — suggesting the street is comfortable with guidance and not pricing in incremental upside. The stock has underperformed meaningfully since last earnings, down ~5.2% vs. IYR (REIT ETF) +6.3% and SPY +4.1%, driven almost entirely by the </w:t>
      </w:r>
      <w:r>
        <w:rPr>
          <w:rFonts w:ascii="Calibri" w:hAnsi="Calibri"/>
          <w:b/>
          <w:color w:val="525866"/>
          <w:sz w:val="22"/>
        </w:rPr>
        <w:t>Caesars privatization overhang</w:t>
      </w:r>
      <w:r>
        <w:rPr>
          <w:rFonts w:ascii="Calibri" w:hAnsi="Calibri"/>
          <w:color w:val="525866"/>
          <w:sz w:val="22"/>
        </w:rPr>
        <w:t xml:space="preserve"> and broader REIT sector rate sensitivity, not by any fundamental deterioration; at current levels VICI trades near a 5-year low on P/AFFO, creating an asymmetric setup if management can neutralize the Caesars narrative. The wildcard is </w:t>
      </w:r>
      <w:r>
        <w:rPr>
          <w:rFonts w:ascii="Calibri" w:hAnsi="Calibri"/>
          <w:b/>
          <w:color w:val="525866"/>
          <w:sz w:val="22"/>
        </w:rPr>
        <w:t>Caesars Q2 Las Vegas results</w:t>
      </w:r>
      <w:r>
        <w:rPr>
          <w:rFonts w:ascii="Calibri" w:hAnsi="Calibri"/>
          <w:color w:val="525866"/>
          <w:sz w:val="22"/>
        </w:rPr>
        <w:t xml:space="preserve"> — reported today (July 28), Las Vegas EBITDA fell 12.6% YoY to $410M, which could renew concerns about tenant health, though VICI's triple-net lease structure insulates it from operator-level volatility and Caesars' regional segment (which covers most VICI rent) grew EBITDA 11.2% YoY.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AFFO/share ($0.615 vs. $0.61 last quarter), and revenue consensus of $1.035B implies modest sequential growth consistent with contractual escalators. </w:t>
      </w:r>
      <w:r>
        <w:rPr>
          <w:rFonts w:ascii="Calibri" w:hAnsi="Calibri"/>
          <w:b/>
          <w:color w:val="525866"/>
          <w:sz w:val="22"/>
        </w:rPr>
        <w:t>AFFO/share is the bigger swing factor</w:t>
      </w:r>
      <w:r>
        <w:rPr>
          <w:rFonts w:ascii="Calibri" w:hAnsi="Calibri"/>
          <w:color w:val="525866"/>
          <w:sz w:val="22"/>
        </w:rPr>
        <w:t xml:space="preserve"> — any incremental capital deployment from the Golden Entertainment close or Gamehost close could provide a modest beat.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AFFO per Share ($)</w:t>
            </w:r>
          </w:p>
        </w:tc>
        <w:tc>
          <w:tcPr>
            <w:tcW w:type="dxa" w:w="1234"/>
          </w:tcPr>
          <w:p>
            <w:r>
              <w:rPr>
                <w:rFonts w:ascii="Calibri" w:hAnsi="Calibri"/>
                <w:sz w:val="22"/>
              </w:rPr>
              <w:t>$0.61</w:t>
            </w:r>
          </w:p>
        </w:tc>
        <w:tc>
          <w:tcPr>
            <w:tcW w:type="dxa" w:w="1234"/>
          </w:tcPr>
          <w:p>
            <w:r>
              <w:rPr>
                <w:rFonts w:ascii="Calibri" w:hAnsi="Calibri"/>
                <w:sz w:val="22"/>
              </w:rPr>
              <w:t>$0.60</w:t>
            </w:r>
          </w:p>
        </w:tc>
        <w:tc>
          <w:tcPr>
            <w:tcW w:type="dxa" w:w="1234"/>
          </w:tcPr>
          <w:p>
            <w:r>
              <w:rPr>
                <w:rFonts w:ascii="Calibri" w:hAnsi="Calibri"/>
                <w:sz w:val="22"/>
              </w:rPr>
              <w:t>$0.615</w:t>
            </w:r>
          </w:p>
        </w:tc>
        <w:tc>
          <w:tcPr>
            <w:tcW w:type="dxa" w:w="1234"/>
          </w:tcPr>
          <w:p>
            <w:r>
              <w:rPr>
                <w:rFonts w:ascii="Calibri" w:hAnsi="Calibri"/>
                <w:sz w:val="22"/>
              </w:rPr>
              <w:t>+2.5%</w:t>
            </w:r>
          </w:p>
        </w:tc>
        <w:tc>
          <w:tcPr>
            <w:tcW w:type="dxa" w:w="1234"/>
          </w:tcPr>
          <w:p>
            <w:r>
              <w:rPr>
                <w:rFonts w:ascii="Calibri" w:hAnsi="Calibri"/>
                <w:sz w:val="22"/>
              </w:rPr>
              <w:t>$2.44–$2.47 ($2.455 mid)</w:t>
            </w:r>
          </w:p>
        </w:tc>
        <w:tc>
          <w:tcPr>
            <w:tcW w:type="dxa" w:w="1234"/>
          </w:tcPr>
          <w:p>
            <w:r>
              <w:rPr>
                <w:rFonts w:ascii="Calibri" w:hAnsi="Calibri"/>
                <w:sz w:val="22"/>
              </w:rPr>
              <w:t>~+0.3% above mid</w:t>
            </w:r>
          </w:p>
        </w:tc>
      </w:tr>
      <w:tr>
        <w:tc>
          <w:tcPr>
            <w:tcW w:type="dxa" w:w="1234"/>
          </w:tcPr>
          <w:p>
            <w:r>
              <w:rPr>
                <w:rFonts w:ascii="Calibri" w:hAnsi="Calibri"/>
                <w:sz w:val="22"/>
              </w:rPr>
              <w:t>AFFO Total ($M)</w:t>
            </w:r>
          </w:p>
        </w:tc>
        <w:tc>
          <w:tcPr>
            <w:tcW w:type="dxa" w:w="1234"/>
          </w:tcPr>
          <w:p>
            <w:r>
              <w:rPr>
                <w:rFonts w:ascii="Calibri" w:hAnsi="Calibri"/>
                <w:sz w:val="22"/>
              </w:rPr>
              <w:t>$650.9M</w:t>
            </w:r>
          </w:p>
        </w:tc>
        <w:tc>
          <w:tcPr>
            <w:tcW w:type="dxa" w:w="1234"/>
          </w:tcPr>
          <w:p>
            <w:r>
              <w:rPr>
                <w:rFonts w:ascii="Calibri" w:hAnsi="Calibri"/>
                <w:sz w:val="22"/>
              </w:rPr>
              <w:t>$630.2M</w:t>
            </w:r>
          </w:p>
        </w:tc>
        <w:tc>
          <w:tcPr>
            <w:tcW w:type="dxa" w:w="1234"/>
          </w:tcPr>
          <w:p>
            <w:r>
              <w:rPr>
                <w:rFonts w:ascii="Calibri" w:hAnsi="Calibri"/>
                <w:sz w:val="22"/>
              </w:rPr>
              <w:t>$670.1M</w:t>
            </w:r>
          </w:p>
        </w:tc>
        <w:tc>
          <w:tcPr>
            <w:tcW w:type="dxa" w:w="1234"/>
          </w:tcPr>
          <w:p>
            <w:r>
              <w:rPr>
                <w:rFonts w:ascii="Calibri" w:hAnsi="Calibri"/>
                <w:sz w:val="22"/>
              </w:rPr>
              <w:t>+6.3%</w:t>
            </w:r>
          </w:p>
        </w:tc>
        <w:tc>
          <w:tcPr>
            <w:tcW w:type="dxa" w:w="1234"/>
          </w:tcPr>
          <w:p>
            <w:r>
              <w:rPr>
                <w:rFonts w:ascii="Calibri" w:hAnsi="Calibri"/>
                <w:sz w:val="22"/>
              </w:rPr>
              <w:t>$2,665M–$2,695M</w:t>
            </w:r>
          </w:p>
        </w:tc>
        <w:tc>
          <w:tcPr>
            <w:tcW w:type="dxa" w:w="1234"/>
          </w:tcPr>
          <w:p>
            <w:r>
              <w:rPr>
                <w:rFonts w:ascii="Calibri" w:hAnsi="Calibri"/>
                <w:sz w:val="22"/>
              </w:rPr>
              <w:t>~+0.3% above mid</w:t>
            </w:r>
          </w:p>
        </w:tc>
      </w:tr>
      <w:tr>
        <w:tc>
          <w:tcPr>
            <w:tcW w:type="dxa" w:w="1234"/>
          </w:tcPr>
          <w:p>
            <w:r>
              <w:rPr>
                <w:rFonts w:ascii="Calibri" w:hAnsi="Calibri"/>
                <w:sz w:val="22"/>
              </w:rPr>
              <w:t>Net Revenue ($M)</w:t>
            </w:r>
          </w:p>
        </w:tc>
        <w:tc>
          <w:tcPr>
            <w:tcW w:type="dxa" w:w="1234"/>
          </w:tcPr>
          <w:p>
            <w:r>
              <w:rPr>
                <w:rFonts w:ascii="Calibri" w:hAnsi="Calibri"/>
                <w:sz w:val="22"/>
              </w:rPr>
              <w:t>$1,018.5M</w:t>
            </w:r>
          </w:p>
        </w:tc>
        <w:tc>
          <w:tcPr>
            <w:tcW w:type="dxa" w:w="1234"/>
          </w:tcPr>
          <w:p>
            <w:r>
              <w:rPr>
                <w:rFonts w:ascii="Calibri" w:hAnsi="Calibri"/>
                <w:sz w:val="22"/>
              </w:rPr>
              <w:t>$1,001.3M</w:t>
            </w:r>
          </w:p>
        </w:tc>
        <w:tc>
          <w:tcPr>
            <w:tcW w:type="dxa" w:w="1234"/>
          </w:tcPr>
          <w:p>
            <w:r>
              <w:rPr>
                <w:rFonts w:ascii="Calibri" w:hAnsi="Calibri"/>
                <w:sz w:val="22"/>
              </w:rPr>
              <w:t>$1,035.2M</w:t>
            </w:r>
          </w:p>
        </w:tc>
        <w:tc>
          <w:tcPr>
            <w:tcW w:type="dxa" w:w="1234"/>
          </w:tcPr>
          <w:p>
            <w:r>
              <w:rPr>
                <w:rFonts w:ascii="Calibri" w:hAnsi="Calibri"/>
                <w:sz w:val="22"/>
              </w:rPr>
              <w:t>+3.4%</w:t>
            </w:r>
          </w:p>
        </w:tc>
        <w:tc>
          <w:tcPr>
            <w:tcW w:type="dxa" w:w="1234"/>
          </w:tcPr>
          <w:p>
            <w:r>
              <w:rPr>
                <w:rFonts w:ascii="Calibri" w:hAnsi="Calibri"/>
                <w:sz w:val="22"/>
              </w:rPr>
              <w:t>N/A (no revenue guidance)</w:t>
            </w:r>
          </w:p>
        </w:tc>
        <w:tc>
          <w:tcPr>
            <w:tcW w:type="dxa" w:w="1234"/>
          </w:tcPr>
          <w:p>
            <w:r>
              <w:rPr>
                <w:rFonts w:ascii="Calibri" w:hAnsi="Calibri"/>
                <w:sz w:val="22"/>
              </w:rPr>
              <w:t>N/A</w:t>
            </w:r>
          </w:p>
        </w:tc>
      </w:tr>
      <w:tr>
        <w:tc>
          <w:tcPr>
            <w:tcW w:type="dxa" w:w="1234"/>
          </w:tcPr>
          <w:p>
            <w:r>
              <w:rPr>
                <w:rFonts w:ascii="Calibri" w:hAnsi="Calibri"/>
                <w:sz w:val="22"/>
              </w:rPr>
              <w:t>Adjusted EBITDA ($M)</w:t>
            </w:r>
          </w:p>
        </w:tc>
        <w:tc>
          <w:tcPr>
            <w:tcW w:type="dxa" w:w="1234"/>
          </w:tcPr>
          <w:p>
            <w:r>
              <w:rPr>
                <w:rFonts w:ascii="Calibri" w:hAnsi="Calibri"/>
                <w:sz w:val="22"/>
              </w:rPr>
              <w:t>$838.2M</w:t>
            </w:r>
          </w:p>
        </w:tc>
        <w:tc>
          <w:tcPr>
            <w:tcW w:type="dxa" w:w="1234"/>
          </w:tcPr>
          <w:p>
            <w:r>
              <w:rPr>
                <w:rFonts w:ascii="Calibri" w:hAnsi="Calibri"/>
                <w:sz w:val="22"/>
              </w:rPr>
              <w:t>$822.2M</w:t>
            </w:r>
          </w:p>
        </w:tc>
        <w:tc>
          <w:tcPr>
            <w:tcW w:type="dxa" w:w="1234"/>
          </w:tcPr>
          <w:p>
            <w:r>
              <w:rPr>
                <w:rFonts w:ascii="Calibri" w:hAnsi="Calibri"/>
                <w:sz w:val="22"/>
              </w:rPr>
              <w:t>$864.3M</w:t>
            </w:r>
          </w:p>
        </w:tc>
        <w:tc>
          <w:tcPr>
            <w:tcW w:type="dxa" w:w="1234"/>
          </w:tcPr>
          <w:p>
            <w:r>
              <w:rPr>
                <w:rFonts w:ascii="Calibri" w:hAnsi="Calibri"/>
                <w:sz w:val="22"/>
              </w:rPr>
              <w:t>+5.1%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Dividend per Share ($)</w:t>
            </w:r>
          </w:p>
        </w:tc>
        <w:tc>
          <w:tcPr>
            <w:tcW w:type="dxa" w:w="1234"/>
          </w:tcPr>
          <w:p>
            <w:r>
              <w:rPr>
                <w:rFonts w:ascii="Calibri" w:hAnsi="Calibri"/>
                <w:sz w:val="22"/>
              </w:rPr>
              <w:t>$0.45</w:t>
            </w:r>
          </w:p>
        </w:tc>
        <w:tc>
          <w:tcPr>
            <w:tcW w:type="dxa" w:w="1234"/>
          </w:tcPr>
          <w:p>
            <w:r>
              <w:rPr>
                <w:rFonts w:ascii="Calibri" w:hAnsi="Calibri"/>
                <w:sz w:val="22"/>
              </w:rPr>
              <w:t>$0.4325</w:t>
            </w:r>
          </w:p>
        </w:tc>
        <w:tc>
          <w:tcPr>
            <w:tcW w:type="dxa" w:w="1234"/>
          </w:tcPr>
          <w:p>
            <w:r>
              <w:rPr>
                <w:rFonts w:ascii="Calibri" w:hAnsi="Calibri"/>
                <w:sz w:val="22"/>
              </w:rPr>
              <w:t>$0.450</w:t>
            </w:r>
          </w:p>
        </w:tc>
        <w:tc>
          <w:tcPr>
            <w:tcW w:type="dxa" w:w="1234"/>
          </w:tcPr>
          <w:p>
            <w:r>
              <w:rPr>
                <w:rFonts w:ascii="Calibri" w:hAnsi="Calibri"/>
                <w:sz w:val="22"/>
              </w:rPr>
              <w:t>+4.0%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Net Debt ($B)</w:t>
            </w:r>
          </w:p>
        </w:tc>
        <w:tc>
          <w:tcPr>
            <w:tcW w:type="dxa" w:w="1234"/>
          </w:tcPr>
          <w:p>
            <w:r>
              <w:rPr>
                <w:rFonts w:ascii="Calibri" w:hAnsi="Calibri"/>
                <w:sz w:val="22"/>
              </w:rPr>
              <w:t>$16.6B</w:t>
            </w:r>
          </w:p>
        </w:tc>
        <w:tc>
          <w:tcPr>
            <w:tcW w:type="dxa" w:w="1234"/>
          </w:tcPr>
          <w:p>
            <w:r>
              <w:rPr>
                <w:rFonts w:ascii="Calibri" w:hAnsi="Calibri"/>
                <w:sz w:val="22"/>
              </w:rPr>
              <w:t>$17.0B</w:t>
            </w:r>
          </w:p>
        </w:tc>
        <w:tc>
          <w:tcPr>
            <w:tcW w:type="dxa" w:w="1234"/>
          </w:tcPr>
          <w:p>
            <w:r>
              <w:rPr>
                <w:rFonts w:ascii="Calibri" w:hAnsi="Calibri"/>
                <w:sz w:val="22"/>
              </w:rPr>
              <w:t>$16.9B</w:t>
            </w:r>
          </w:p>
        </w:tc>
        <w:tc>
          <w:tcPr>
            <w:tcW w:type="dxa" w:w="1234"/>
          </w:tcPr>
          <w:p>
            <w:r>
              <w:rPr>
                <w:rFonts w:ascii="Calibri" w:hAnsi="Calibri"/>
                <w:sz w:val="22"/>
              </w:rPr>
              <w:t>~–0.6%</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VICI Q1 2026 Earnings Release (April 29, 2026). Net Revenue Q1 2026 actual of $1,018.5M includes $130.0M of non-cash leasing and financing adjustments and $18.9M of other income.</w:t>
      </w:r>
    </w:p>
    <w:p>
      <w:pPr>
        <w:pStyle w:val="Heading3"/>
      </w:pPr>
      <w:r>
        <w:rPr>
          <w:rFonts w:ascii="Calibri" w:hAnsi="Calibri"/>
          <w:b/>
          <w:color w:val="3B4259"/>
          <w:sz w:val="24"/>
        </w:rPr>
        <w:t>Table 2 — Beat/Miss History (Last 8 Quarters —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AFFO/Share</w:t>
            </w:r>
          </w:p>
        </w:tc>
        <w:tc>
          <w:tcPr>
            <w:tcW w:type="dxa" w:w="1440"/>
          </w:tcPr>
          <w:p>
            <w:r>
              <w:rPr>
                <w:rFonts w:ascii="Calibri" w:hAnsi="Calibri"/>
                <w:sz w:val="22"/>
              </w:rPr>
              <w:t>$0.61</w:t>
            </w:r>
          </w:p>
        </w:tc>
        <w:tc>
          <w:tcPr>
            <w:tcW w:type="dxa" w:w="1440"/>
          </w:tcPr>
          <w:p>
            <w:r>
              <w:rPr>
                <w:rFonts w:ascii="Calibri" w:hAnsi="Calibri"/>
                <w:sz w:val="22"/>
              </w:rPr>
              <w:t>$0.605</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Revenue</w:t>
            </w:r>
          </w:p>
        </w:tc>
        <w:tc>
          <w:tcPr>
            <w:tcW w:type="dxa" w:w="1440"/>
          </w:tcPr>
          <w:p>
            <w:r>
              <w:rPr>
                <w:rFonts w:ascii="Calibri" w:hAnsi="Calibri"/>
                <w:sz w:val="22"/>
              </w:rPr>
              <w:t>$1,018.5M</w:t>
            </w:r>
          </w:p>
        </w:tc>
        <w:tc>
          <w:tcPr>
            <w:tcW w:type="dxa" w:w="1440"/>
          </w:tcPr>
          <w:p>
            <w:r>
              <w:rPr>
                <w:rFonts w:ascii="Calibri" w:hAnsi="Calibri"/>
                <w:sz w:val="22"/>
              </w:rPr>
              <w:t>$1,009.5M</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AFFO/Share</w:t>
            </w:r>
          </w:p>
        </w:tc>
        <w:tc>
          <w:tcPr>
            <w:tcW w:type="dxa" w:w="1440"/>
          </w:tcPr>
          <w:p>
            <w:r>
              <w:rPr>
                <w:rFonts w:ascii="Calibri" w:hAnsi="Calibri"/>
                <w:sz w:val="22"/>
              </w:rPr>
              <w:t>$0.60</w:t>
            </w:r>
          </w:p>
        </w:tc>
        <w:tc>
          <w:tcPr>
            <w:tcW w:type="dxa" w:w="1440"/>
          </w:tcPr>
          <w:p>
            <w:r>
              <w:rPr>
                <w:rFonts w:ascii="Calibri" w:hAnsi="Calibri"/>
                <w:sz w:val="22"/>
              </w:rPr>
              <w:t>$0.595</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Revenue</w:t>
            </w:r>
          </w:p>
        </w:tc>
        <w:tc>
          <w:tcPr>
            <w:tcW w:type="dxa" w:w="1440"/>
          </w:tcPr>
          <w:p>
            <w:r>
              <w:rPr>
                <w:rFonts w:ascii="Calibri" w:hAnsi="Calibri"/>
                <w:sz w:val="22"/>
              </w:rPr>
              <w:t>$1,013.1M</w:t>
            </w:r>
          </w:p>
        </w:tc>
        <w:tc>
          <w:tcPr>
            <w:tcW w:type="dxa" w:w="1440"/>
          </w:tcPr>
          <w:p>
            <w:r>
              <w:rPr>
                <w:rFonts w:ascii="Calibri" w:hAnsi="Calibri"/>
                <w:sz w:val="22"/>
              </w:rPr>
              <w:t>$1,005.1M</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AFFO/Share</w:t>
            </w:r>
          </w:p>
        </w:tc>
        <w:tc>
          <w:tcPr>
            <w:tcW w:type="dxa" w:w="1440"/>
          </w:tcPr>
          <w:p>
            <w:r>
              <w:rPr>
                <w:rFonts w:ascii="Calibri" w:hAnsi="Calibri"/>
                <w:sz w:val="22"/>
              </w:rPr>
              <w:t>$0.60</w:t>
            </w:r>
          </w:p>
        </w:tc>
        <w:tc>
          <w:tcPr>
            <w:tcW w:type="dxa" w:w="1440"/>
          </w:tcPr>
          <w:p>
            <w:r>
              <w:rPr>
                <w:rFonts w:ascii="Calibri" w:hAnsi="Calibri"/>
                <w:sz w:val="22"/>
              </w:rPr>
              <w:t>$0.592</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Revenue</w:t>
            </w:r>
          </w:p>
        </w:tc>
        <w:tc>
          <w:tcPr>
            <w:tcW w:type="dxa" w:w="1440"/>
          </w:tcPr>
          <w:p>
            <w:r>
              <w:rPr>
                <w:rFonts w:ascii="Calibri" w:hAnsi="Calibri"/>
                <w:sz w:val="22"/>
              </w:rPr>
              <w:t>$1,007.5M</w:t>
            </w:r>
          </w:p>
        </w:tc>
        <w:tc>
          <w:tcPr>
            <w:tcW w:type="dxa" w:w="1440"/>
          </w:tcPr>
          <w:p>
            <w:r>
              <w:rPr>
                <w:rFonts w:ascii="Calibri" w:hAnsi="Calibri"/>
                <w:sz w:val="22"/>
              </w:rPr>
              <w:t>$994.5M</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AFFO/Share</w:t>
            </w:r>
          </w:p>
        </w:tc>
        <w:tc>
          <w:tcPr>
            <w:tcW w:type="dxa" w:w="1440"/>
          </w:tcPr>
          <w:p>
            <w:r>
              <w:rPr>
                <w:rFonts w:ascii="Calibri" w:hAnsi="Calibri"/>
                <w:sz w:val="22"/>
              </w:rPr>
              <w:t>$0.60</w:t>
            </w:r>
          </w:p>
        </w:tc>
        <w:tc>
          <w:tcPr>
            <w:tcW w:type="dxa" w:w="1440"/>
          </w:tcPr>
          <w:p>
            <w:r>
              <w:rPr>
                <w:rFonts w:ascii="Calibri" w:hAnsi="Calibri"/>
                <w:sz w:val="22"/>
              </w:rPr>
              <w:t>$0.588</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Revenue</w:t>
            </w:r>
          </w:p>
        </w:tc>
        <w:tc>
          <w:tcPr>
            <w:tcW w:type="dxa" w:w="1440"/>
          </w:tcPr>
          <w:p>
            <w:r>
              <w:rPr>
                <w:rFonts w:ascii="Calibri" w:hAnsi="Calibri"/>
                <w:sz w:val="22"/>
              </w:rPr>
              <w:t>$1,001.3M</w:t>
            </w:r>
          </w:p>
        </w:tc>
        <w:tc>
          <w:tcPr>
            <w:tcW w:type="dxa" w:w="1440"/>
          </w:tcPr>
          <w:p>
            <w:r>
              <w:rPr>
                <w:rFonts w:ascii="Calibri" w:hAnsi="Calibri"/>
                <w:sz w:val="22"/>
              </w:rPr>
              <w:t>$986.4M</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AFFO/Share</w:t>
            </w:r>
          </w:p>
        </w:tc>
        <w:tc>
          <w:tcPr>
            <w:tcW w:type="dxa" w:w="1440"/>
          </w:tcPr>
          <w:p>
            <w:r>
              <w:rPr>
                <w:rFonts w:ascii="Calibri" w:hAnsi="Calibri"/>
                <w:sz w:val="22"/>
              </w:rPr>
              <w:t>$0.58</w:t>
            </w:r>
          </w:p>
        </w:tc>
        <w:tc>
          <w:tcPr>
            <w:tcW w:type="dxa" w:w="1440"/>
          </w:tcPr>
          <w:p>
            <w:r>
              <w:rPr>
                <w:rFonts w:ascii="Calibri" w:hAnsi="Calibri"/>
                <w:sz w:val="22"/>
              </w:rPr>
              <w:t>$0.579</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Revenue</w:t>
            </w:r>
          </w:p>
        </w:tc>
        <w:tc>
          <w:tcPr>
            <w:tcW w:type="dxa" w:w="1440"/>
          </w:tcPr>
          <w:p>
            <w:r>
              <w:rPr>
                <w:rFonts w:ascii="Calibri" w:hAnsi="Calibri"/>
                <w:sz w:val="22"/>
              </w:rPr>
              <w:t>$984.2M</w:t>
            </w:r>
          </w:p>
        </w:tc>
        <w:tc>
          <w:tcPr>
            <w:tcW w:type="dxa" w:w="1440"/>
          </w:tcPr>
          <w:p>
            <w:r>
              <w:rPr>
                <w:rFonts w:ascii="Calibri" w:hAnsi="Calibri"/>
                <w:sz w:val="22"/>
              </w:rPr>
              <w:t>$971.0M</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AFFO/Share</w:t>
            </w:r>
          </w:p>
        </w:tc>
        <w:tc>
          <w:tcPr>
            <w:tcW w:type="dxa" w:w="1440"/>
          </w:tcPr>
          <w:p>
            <w:r>
              <w:rPr>
                <w:rFonts w:ascii="Calibri" w:hAnsi="Calibri"/>
                <w:sz w:val="22"/>
              </w:rPr>
              <w:t>$0.57</w:t>
            </w:r>
          </w:p>
        </w:tc>
        <w:tc>
          <w:tcPr>
            <w:tcW w:type="dxa" w:w="1440"/>
          </w:tcPr>
          <w:p>
            <w:r>
              <w:rPr>
                <w:rFonts w:ascii="Calibri" w:hAnsi="Calibri"/>
                <w:sz w:val="22"/>
              </w:rPr>
              <w:t>$0.568</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Revenue</w:t>
            </w:r>
          </w:p>
        </w:tc>
        <w:tc>
          <w:tcPr>
            <w:tcW w:type="dxa" w:w="1440"/>
          </w:tcPr>
          <w:p>
            <w:r>
              <w:rPr>
                <w:rFonts w:ascii="Calibri" w:hAnsi="Calibri"/>
                <w:sz w:val="22"/>
              </w:rPr>
              <w:t>$976.1M</w:t>
            </w:r>
          </w:p>
        </w:tc>
        <w:tc>
          <w:tcPr>
            <w:tcW w:type="dxa" w:w="1440"/>
          </w:tcPr>
          <w:p>
            <w:r>
              <w:rPr>
                <w:rFonts w:ascii="Calibri" w:hAnsi="Calibri"/>
                <w:sz w:val="22"/>
              </w:rPr>
              <w:t>$963.0M</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AFFO/Share</w:t>
            </w:r>
          </w:p>
        </w:tc>
        <w:tc>
          <w:tcPr>
            <w:tcW w:type="dxa" w:w="1440"/>
          </w:tcPr>
          <w:p>
            <w:r>
              <w:rPr>
                <w:rFonts w:ascii="Calibri" w:hAnsi="Calibri"/>
                <w:sz w:val="22"/>
              </w:rPr>
              <w:t>$0.57</w:t>
            </w:r>
          </w:p>
        </w:tc>
        <w:tc>
          <w:tcPr>
            <w:tcW w:type="dxa" w:w="1440"/>
          </w:tcPr>
          <w:p>
            <w:r>
              <w:rPr>
                <w:rFonts w:ascii="Calibri" w:hAnsi="Calibri"/>
                <w:sz w:val="22"/>
              </w:rPr>
              <w:t>$0.564</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Revenue</w:t>
            </w:r>
          </w:p>
        </w:tc>
        <w:tc>
          <w:tcPr>
            <w:tcW w:type="dxa" w:w="1440"/>
          </w:tcPr>
          <w:p>
            <w:r>
              <w:rPr>
                <w:rFonts w:ascii="Calibri" w:hAnsi="Calibri"/>
                <w:sz w:val="22"/>
              </w:rPr>
              <w:t>$964.7M</w:t>
            </w:r>
          </w:p>
        </w:tc>
        <w:tc>
          <w:tcPr>
            <w:tcW w:type="dxa" w:w="1440"/>
          </w:tcPr>
          <w:p>
            <w:r>
              <w:rPr>
                <w:rFonts w:ascii="Calibri" w:hAnsi="Calibri"/>
                <w:sz w:val="22"/>
              </w:rPr>
              <w:t>$959.4M</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AFFO/Share</w:t>
            </w:r>
          </w:p>
        </w:tc>
        <w:tc>
          <w:tcPr>
            <w:tcW w:type="dxa" w:w="1440"/>
          </w:tcPr>
          <w:p>
            <w:r>
              <w:rPr>
                <w:rFonts w:ascii="Calibri" w:hAnsi="Calibri"/>
                <w:sz w:val="22"/>
              </w:rPr>
              <w:t>$0.57</w:t>
            </w:r>
          </w:p>
        </w:tc>
        <w:tc>
          <w:tcPr>
            <w:tcW w:type="dxa" w:w="1440"/>
          </w:tcPr>
          <w:p>
            <w:r>
              <w:rPr>
                <w:rFonts w:ascii="Calibri" w:hAnsi="Calibri"/>
                <w:sz w:val="22"/>
              </w:rPr>
              <w:t>$0.563</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Revenue</w:t>
            </w:r>
          </w:p>
        </w:tc>
        <w:tc>
          <w:tcPr>
            <w:tcW w:type="dxa" w:w="1440"/>
          </w:tcPr>
          <w:p>
            <w:r>
              <w:rPr>
                <w:rFonts w:ascii="Calibri" w:hAnsi="Calibri"/>
                <w:sz w:val="22"/>
              </w:rPr>
              <w:t>$957.0M</w:t>
            </w:r>
          </w:p>
        </w:tc>
        <w:tc>
          <w:tcPr>
            <w:tcW w:type="dxa" w:w="1440"/>
          </w:tcPr>
          <w:p>
            <w:r>
              <w:rPr>
                <w:rFonts w:ascii="Calibri" w:hAnsi="Calibri"/>
                <w:sz w:val="22"/>
              </w:rPr>
              <w:t>$948.4M</w:t>
            </w:r>
          </w:p>
        </w:tc>
        <w:tc>
          <w:tcPr>
            <w:tcW w:type="dxa" w:w="1440"/>
          </w:tcPr>
          <w:p>
            <w:r>
              <w:rPr>
                <w:rFonts w:ascii="Calibri" w:hAnsi="Calibri"/>
                <w:b/>
                <w:color w:val="30A46C"/>
                <w:sz w:val="22"/>
              </w:rPr>
              <w:t>+0.9%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VICI has beaten AFFO/share consensus in each of the last 8 quarters, with surprise magnitudes ranging from +0.2% to +2.0% — a consistent, modest beat pattern driven by the predictability of triple-net lease cash flows. Revenue beats have been similarly consistent, reflecting the contractual nature of rent escalators. The low-volatility beat cadence suggests consensus is systematically conservative, and a Q2 2026 beat is the base case.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FY2026 AFFO guidance was raised materially at Q1 earnings (April 29, 2026) and has not been revised since; management tone remains confident and strategically focused, with no post-earnings guidance updates or 8-K revisions. </w:t>
      </w:r>
      <w:r>
        <w:rPr>
          <w:rFonts w:ascii="Calibri" w:hAnsi="Calibri"/>
          <w:b/>
          <w:color w:val="525866"/>
          <w:sz w:val="22"/>
        </w:rPr>
        <w:t>The guidance raise was the primary positive surprise of Q1</w:t>
      </w:r>
      <w:r>
        <w:rPr>
          <w:rFonts w:ascii="Calibri" w:hAnsi="Calibri"/>
          <w:color w:val="525866"/>
          <w:sz w:val="22"/>
        </w:rPr>
        <w:t xml:space="preserve"> and sets a credible floor for Q2 expectations.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 (Q1 2026 Earnings Call, Apr 29)</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AFFO ($M)</w:t>
            </w:r>
          </w:p>
        </w:tc>
        <w:tc>
          <w:tcPr>
            <w:tcW w:type="dxa" w:w="1728"/>
          </w:tcPr>
          <w:p>
            <w:r>
              <w:rPr>
                <w:rFonts w:ascii="Calibri" w:hAnsi="Calibri"/>
                <w:sz w:val="22"/>
              </w:rPr>
              <w:t>$2,590M – $2,625M</w:t>
            </w:r>
          </w:p>
        </w:tc>
        <w:tc>
          <w:tcPr>
            <w:tcW w:type="dxa" w:w="1728"/>
          </w:tcPr>
          <w:p>
            <w:r>
              <w:rPr>
                <w:rFonts w:ascii="Calibri" w:hAnsi="Calibri"/>
                <w:b/>
                <w:color w:val="30A46C"/>
                <w:sz w:val="22"/>
              </w:rPr>
              <w:t>$2,665M – $2,695M</w:t>
            </w:r>
          </w:p>
        </w:tc>
        <w:tc>
          <w:tcPr>
            <w:tcW w:type="dxa" w:w="1728"/>
          </w:tcPr>
          <w:p>
            <w:r>
              <w:rPr>
                <w:rFonts w:ascii="Calibri" w:hAnsi="Calibri"/>
                <w:sz w:val="22"/>
              </w:rPr>
              <w:t>$2,684M</w:t>
            </w:r>
          </w:p>
        </w:tc>
        <w:tc>
          <w:tcPr>
            <w:tcW w:type="dxa" w:w="1728"/>
          </w:tcPr>
          <w:p>
            <w:r>
              <w:rPr>
                <w:rFonts w:ascii="Calibri" w:hAnsi="Calibri"/>
                <w:sz w:val="22"/>
              </w:rPr>
              <w:t>↑ Raised at Q1 2026 earnings (Apr 29); new midpoint $2,680M above prior high end of $2,625M; driven by Golden Entertainment close and Gamehost acquisition</w:t>
            </w:r>
          </w:p>
        </w:tc>
      </w:tr>
      <w:tr>
        <w:tc>
          <w:tcPr>
            <w:tcW w:type="dxa" w:w="1728"/>
          </w:tcPr>
          <w:p>
            <w:r>
              <w:rPr>
                <w:rFonts w:ascii="Calibri" w:hAnsi="Calibri"/>
                <w:sz w:val="22"/>
              </w:rPr>
              <w:t>FY2026 AFFO per Diluted Share ($)</w:t>
            </w:r>
          </w:p>
        </w:tc>
        <w:tc>
          <w:tcPr>
            <w:tcW w:type="dxa" w:w="1728"/>
          </w:tcPr>
          <w:p>
            <w:r>
              <w:rPr>
                <w:rFonts w:ascii="Calibri" w:hAnsi="Calibri"/>
                <w:sz w:val="22"/>
              </w:rPr>
              <w:t>$2.42 – $2.45</w:t>
            </w:r>
          </w:p>
        </w:tc>
        <w:tc>
          <w:tcPr>
            <w:tcW w:type="dxa" w:w="1728"/>
          </w:tcPr>
          <w:p>
            <w:r>
              <w:rPr>
                <w:rFonts w:ascii="Calibri" w:hAnsi="Calibri"/>
                <w:b/>
                <w:color w:val="30A46C"/>
                <w:sz w:val="22"/>
              </w:rPr>
              <w:t>$2.44 – $2.47</w:t>
            </w:r>
          </w:p>
        </w:tc>
        <w:tc>
          <w:tcPr>
            <w:tcW w:type="dxa" w:w="1728"/>
          </w:tcPr>
          <w:p>
            <w:r>
              <w:rPr>
                <w:rFonts w:ascii="Calibri" w:hAnsi="Calibri"/>
                <w:sz w:val="22"/>
              </w:rPr>
              <w:t>$2.463</w:t>
            </w:r>
          </w:p>
        </w:tc>
        <w:tc>
          <w:tcPr>
            <w:tcW w:type="dxa" w:w="1728"/>
          </w:tcPr>
          <w:p>
            <w:r>
              <w:rPr>
                <w:rFonts w:ascii="Calibri" w:hAnsi="Calibri"/>
                <w:sz w:val="22"/>
              </w:rPr>
              <w:t>↑ Raised at Q1 2026 earnings; new midpoint $2.455/share; consensus sits just above midpoint; weighted avg. share count est. 1,090.7M</w:t>
            </w:r>
          </w:p>
        </w:tc>
      </w:tr>
      <w:tr>
        <w:tc>
          <w:tcPr>
            <w:tcW w:type="dxa" w:w="1728"/>
          </w:tcPr>
          <w:p>
            <w:r>
              <w:rPr>
                <w:rFonts w:ascii="Calibri" w:hAnsi="Calibri"/>
                <w:sz w:val="22"/>
              </w:rPr>
              <w:t>Leverage (Net Debt / EBITDA)</w:t>
            </w:r>
          </w:p>
        </w:tc>
        <w:tc>
          <w:tcPr>
            <w:tcW w:type="dxa" w:w="1728"/>
          </w:tcPr>
          <w:p>
            <w:r>
              <w:rPr>
                <w:rFonts w:ascii="Calibri" w:hAnsi="Calibri"/>
                <w:sz w:val="22"/>
              </w:rPr>
              <w:t>5.0x – 5.5x target range</w:t>
            </w:r>
          </w:p>
        </w:tc>
        <w:tc>
          <w:tcPr>
            <w:tcW w:type="dxa" w:w="1728"/>
          </w:tcPr>
          <w:p>
            <w:r>
              <w:rPr>
                <w:rFonts w:ascii="Calibri" w:hAnsi="Calibri"/>
                <w:sz w:val="22"/>
              </w:rPr>
              <w:t>~5.0x (low end of range)</w:t>
            </w:r>
          </w:p>
        </w:tc>
        <w:tc>
          <w:tcPr>
            <w:tcW w:type="dxa" w:w="1728"/>
          </w:tcPr>
          <w:p>
            <w:r>
              <w:rPr>
                <w:rFonts w:ascii="Calibri" w:hAnsi="Calibri"/>
                <w:sz w:val="22"/>
              </w:rPr>
              <w:t>~5.0x</w:t>
            </w:r>
          </w:p>
        </w:tc>
        <w:tc>
          <w:tcPr>
            <w:tcW w:type="dxa" w:w="1728"/>
          </w:tcPr>
          <w:p>
            <w:r>
              <w:rPr>
                <w:rFonts w:ascii="Calibri" w:hAnsi="Calibri"/>
                <w:sz w:val="22"/>
              </w:rPr>
              <w:t>Unchanged; management noted leverage at low end of target range as of Q1 2026, providing capital deployment flexibility</w:t>
            </w:r>
          </w:p>
        </w:tc>
      </w:tr>
      <w:tr>
        <w:tc>
          <w:tcPr>
            <w:tcW w:type="dxa" w:w="1728"/>
          </w:tcPr>
          <w:p>
            <w:r>
              <w:rPr>
                <w:rFonts w:ascii="Calibri" w:hAnsi="Calibri"/>
                <w:sz w:val="22"/>
              </w:rPr>
              <w:t>Capital Deployment Tone</w:t>
            </w:r>
          </w:p>
        </w:tc>
        <w:tc>
          <w:tcPr>
            <w:tcW w:type="dxa" w:w="1728"/>
          </w:tcPr>
          <w:p>
            <w:r>
              <w:rPr>
                <w:rFonts w:ascii="Calibri" w:hAnsi="Calibri"/>
                <w:sz w:val="22"/>
              </w:rPr>
              <w:t>Selective; equity issuance unattractive at current prices</w:t>
            </w:r>
          </w:p>
        </w:tc>
        <w:tc>
          <w:tcPr>
            <w:tcW w:type="dxa" w:w="1728"/>
          </w:tcPr>
          <w:p>
            <w:r>
              <w:rPr>
                <w:rFonts w:ascii="Calibri" w:hAnsi="Calibri"/>
                <w:sz w:val="22"/>
              </w:rPr>
              <w:t>Active; $1.2B in Q1 commitments; ECCV bilateral structure formalized</w:t>
            </w:r>
          </w:p>
        </w:tc>
        <w:tc>
          <w:tcPr>
            <w:tcW w:type="dxa" w:w="1728"/>
          </w:tcPr>
          <w:p>
            <w:r>
              <w:rPr>
                <w:rFonts w:ascii="Calibri" w:hAnsi="Calibri"/>
                <w:sz w:val="22"/>
              </w:rPr>
              <w:t>N/A</w:t>
            </w:r>
          </w:p>
        </w:tc>
        <w:tc>
          <w:tcPr>
            <w:tcW w:type="dxa" w:w="1728"/>
          </w:tcPr>
          <w:p>
            <w:r>
              <w:rPr>
                <w:rFonts w:ascii="Calibri" w:hAnsi="Calibri"/>
                <w:sz w:val="22"/>
              </w:rPr>
              <w:t>Tone more constructive; management highlighted record consecutive $1B+ quarters; relying on FCF (~$650M/yr), debt capacity, and alternative capital</w:t>
            </w:r>
          </w:p>
        </w:tc>
      </w:tr>
      <w:tr>
        <w:tc>
          <w:tcPr>
            <w:tcW w:type="dxa" w:w="1728"/>
          </w:tcPr>
          <w:p>
            <w:r>
              <w:rPr>
                <w:rFonts w:ascii="Calibri" w:hAnsi="Calibri"/>
                <w:sz w:val="22"/>
              </w:rPr>
              <w:t>Equity Issuance</w:t>
            </w:r>
          </w:p>
        </w:tc>
        <w:tc>
          <w:tcPr>
            <w:tcW w:type="dxa" w:w="1728"/>
          </w:tcPr>
          <w:p>
            <w:r>
              <w:rPr>
                <w:rFonts w:ascii="Calibri" w:hAnsi="Calibri"/>
                <w:sz w:val="22"/>
              </w:rPr>
              <w:t>Unattractive at current price levels</w:t>
            </w:r>
          </w:p>
        </w:tc>
        <w:tc>
          <w:tcPr>
            <w:tcW w:type="dxa" w:w="1728"/>
          </w:tcPr>
          <w:p>
            <w:r>
              <w:rPr>
                <w:rFonts w:ascii="Calibri" w:hAnsi="Calibri"/>
                <w:sz w:val="22"/>
              </w:rPr>
              <w:t>Unattractive; settled remaining forward equity to fund Golden close</w:t>
            </w:r>
          </w:p>
        </w:tc>
        <w:tc>
          <w:tcPr>
            <w:tcW w:type="dxa" w:w="1728"/>
          </w:tcPr>
          <w:p>
            <w:r>
              <w:rPr>
                <w:rFonts w:ascii="Calibri" w:hAnsi="Calibri"/>
                <w:sz w:val="22"/>
              </w:rPr>
              <w:t>N/A</w:t>
            </w:r>
          </w:p>
        </w:tc>
        <w:tc>
          <w:tcPr>
            <w:tcW w:type="dxa" w:w="1728"/>
          </w:tcPr>
          <w:p>
            <w:r>
              <w:rPr>
                <w:rFonts w:ascii="Calibri" w:hAnsi="Calibri"/>
                <w:sz w:val="22"/>
              </w:rPr>
              <w:t>Consistent signal of capital discipline; no equity issuance expected near-term</w:t>
            </w:r>
          </w:p>
        </w:tc>
      </w:tr>
    </w:tbl>
    <w:p>
      <w:r>
        <w:rPr>
          <w:rFonts w:ascii="Calibri" w:hAnsi="Calibri"/>
          <w:b/>
          <w:color w:val="525866"/>
          <w:sz w:val="22"/>
        </w:rPr>
        <w:t xml:space="preserve">Note: </w:t>
      </w:r>
      <w:r>
        <w:rPr>
          <w:rFonts w:ascii="Calibri" w:hAnsi="Calibri"/>
          <w:i/>
          <w:color w:val="525866"/>
          <w:sz w:val="22"/>
        </w:rPr>
        <w:t>VICI does not provide GAAP net income guidance due to the inability to reliably predict non-cash changes in the CECL allowance under ASC 326. Guidance excludes impact of pending acquisitions without announced closing dates, future capital markets activity, and other non-recurring items. No post-Q1 guidance revisions via 8-K or investor conference have been identified.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FY2026 AFFO/share consensus moved only –0.04% from the post-earnings baseline, and Q2 2026 estimates ticked down a negligible $0.001. </w:t>
      </w:r>
      <w:r>
        <w:rPr>
          <w:rFonts w:ascii="Calibri" w:hAnsi="Calibri"/>
          <w:b/>
          <w:color w:val="525866"/>
          <w:sz w:val="22"/>
        </w:rPr>
        <w:t>The flat revision trajectory confirms the street is comfortable with guidance</w:t>
      </w:r>
      <w:r>
        <w:rPr>
          <w:rFonts w:ascii="Calibri" w:hAnsi="Calibri"/>
          <w:color w:val="525866"/>
          <w:sz w:val="22"/>
        </w:rPr>
        <w:t xml:space="preserve"> and not pricing in incremental upside from post-Q1 capital deployment (Golden close, Gamehost close, Club Med deal, Cabot golf deal), which represents potential upside optionality.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w:t>
            </w:r>
          </w:p>
        </w:tc>
      </w:tr>
      <w:tr>
        <w:tc>
          <w:tcPr>
            <w:tcW w:type="dxa" w:w="1080"/>
          </w:tcPr>
          <w:p>
            <w:r>
              <w:rPr>
                <w:rFonts w:ascii="Calibri" w:hAnsi="Calibri"/>
                <w:sz w:val="22"/>
              </w:rPr>
              <w:t>AFFO/Share — Q2 2026</w:t>
            </w:r>
          </w:p>
        </w:tc>
        <w:tc>
          <w:tcPr>
            <w:tcW w:type="dxa" w:w="1080"/>
          </w:tcPr>
          <w:p>
            <w:r>
              <w:rPr>
                <w:rFonts w:ascii="Calibri" w:hAnsi="Calibri"/>
                <w:sz w:val="22"/>
              </w:rPr>
              <w:t>$0.616</w:t>
            </w:r>
          </w:p>
        </w:tc>
        <w:tc>
          <w:tcPr>
            <w:tcW w:type="dxa" w:w="1080"/>
          </w:tcPr>
          <w:p>
            <w:r>
              <w:rPr>
                <w:rFonts w:ascii="Calibri" w:hAnsi="Calibri"/>
                <w:sz w:val="22"/>
              </w:rPr>
              <w:t>$0.615</w:t>
            </w:r>
          </w:p>
        </w:tc>
        <w:tc>
          <w:tcPr>
            <w:tcW w:type="dxa" w:w="1080"/>
          </w:tcPr>
          <w:p>
            <w:r>
              <w:rPr>
                <w:rFonts w:ascii="Calibri" w:hAnsi="Calibri"/>
                <w:sz w:val="22"/>
              </w:rPr>
              <w:t>–0.2%</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AFFO/Share — FY2026</w:t>
            </w:r>
          </w:p>
        </w:tc>
        <w:tc>
          <w:tcPr>
            <w:tcW w:type="dxa" w:w="1080"/>
          </w:tcPr>
          <w:p>
            <w:r>
              <w:rPr>
                <w:rFonts w:ascii="Calibri" w:hAnsi="Calibri"/>
                <w:sz w:val="22"/>
              </w:rPr>
              <w:t>$2.464</w:t>
            </w:r>
          </w:p>
        </w:tc>
        <w:tc>
          <w:tcPr>
            <w:tcW w:type="dxa" w:w="1080"/>
          </w:tcPr>
          <w:p>
            <w:r>
              <w:rPr>
                <w:rFonts w:ascii="Calibri" w:hAnsi="Calibri"/>
                <w:sz w:val="22"/>
              </w:rPr>
              <w:t>$2.463</w:t>
            </w:r>
          </w:p>
        </w:tc>
        <w:tc>
          <w:tcPr>
            <w:tcW w:type="dxa" w:w="1080"/>
          </w:tcPr>
          <w:p>
            <w:r>
              <w:rPr>
                <w:rFonts w:ascii="Calibri" w:hAnsi="Calibri"/>
                <w:sz w:val="22"/>
              </w:rPr>
              <w:t>–0.04%</w:t>
            </w:r>
          </w:p>
        </w:tc>
        <w:tc>
          <w:tcPr>
            <w:tcW w:type="dxa" w:w="1080"/>
          </w:tcPr>
          <w:p>
            <w:r>
              <w:rPr>
                <w:rFonts w:ascii="Calibri" w:hAnsi="Calibri"/>
                <w:sz w:val="22"/>
              </w:rPr>
              <w:t>$2.42–$2.45 ($2.435 mid)</w:t>
            </w:r>
          </w:p>
        </w:tc>
        <w:tc>
          <w:tcPr>
            <w:tcW w:type="dxa" w:w="1080"/>
          </w:tcPr>
          <w:p>
            <w:r>
              <w:rPr>
                <w:rFonts w:ascii="Calibri" w:hAnsi="Calibri"/>
                <w:sz w:val="22"/>
              </w:rPr>
              <w:t>$2.44–$2.47 ($2.455 mid)</w:t>
            </w:r>
          </w:p>
        </w:tc>
        <w:tc>
          <w:tcPr>
            <w:tcW w:type="dxa" w:w="1080"/>
          </w:tcPr>
          <w:p>
            <w:r>
              <w:rPr>
                <w:rFonts w:ascii="Calibri" w:hAnsi="Calibri"/>
                <w:sz w:val="22"/>
              </w:rPr>
              <w:t>+$0.02/share (+0.8%)</w:t>
            </w:r>
          </w:p>
        </w:tc>
        <w:tc>
          <w:tcPr>
            <w:tcW w:type="dxa" w:w="1080"/>
          </w:tcPr>
          <w:p>
            <w:r>
              <w:rPr>
                <w:rFonts w:ascii="Calibri" w:hAnsi="Calibri"/>
                <w:sz w:val="22"/>
              </w:rPr>
              <w:t>+0.3% above mid</w:t>
            </w:r>
          </w:p>
        </w:tc>
      </w:tr>
      <w:tr>
        <w:tc>
          <w:tcPr>
            <w:tcW w:type="dxa" w:w="1080"/>
          </w:tcPr>
          <w:p>
            <w:r>
              <w:rPr>
                <w:rFonts w:ascii="Calibri" w:hAnsi="Calibri"/>
                <w:sz w:val="22"/>
              </w:rPr>
              <w:t>AFFO/Share — FY2027</w:t>
            </w:r>
          </w:p>
        </w:tc>
        <w:tc>
          <w:tcPr>
            <w:tcW w:type="dxa" w:w="1080"/>
          </w:tcPr>
          <w:p>
            <w:r>
              <w:rPr>
                <w:rFonts w:ascii="Calibri" w:hAnsi="Calibri"/>
                <w:sz w:val="22"/>
              </w:rPr>
              <w:t>$2.528</w:t>
            </w:r>
          </w:p>
        </w:tc>
        <w:tc>
          <w:tcPr>
            <w:tcW w:type="dxa" w:w="1080"/>
          </w:tcPr>
          <w:p>
            <w:r>
              <w:rPr>
                <w:rFonts w:ascii="Calibri" w:hAnsi="Calibri"/>
                <w:sz w:val="22"/>
              </w:rPr>
              <w:t>$2.543</w:t>
            </w:r>
          </w:p>
        </w:tc>
        <w:tc>
          <w:tcPr>
            <w:tcW w:type="dxa" w:w="1080"/>
          </w:tcPr>
          <w:p>
            <w:r>
              <w:rPr>
                <w:rFonts w:ascii="Calibri" w:hAnsi="Calibri"/>
                <w:sz w:val="22"/>
              </w:rPr>
              <w:t>+0.6%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Q2 2026</w:t>
            </w:r>
          </w:p>
        </w:tc>
        <w:tc>
          <w:tcPr>
            <w:tcW w:type="dxa" w:w="1080"/>
          </w:tcPr>
          <w:p>
            <w:r>
              <w:rPr>
                <w:rFonts w:ascii="Calibri" w:hAnsi="Calibri"/>
                <w:sz w:val="22"/>
              </w:rPr>
              <w:t>$1,040.9M</w:t>
            </w:r>
          </w:p>
        </w:tc>
        <w:tc>
          <w:tcPr>
            <w:tcW w:type="dxa" w:w="1080"/>
          </w:tcPr>
          <w:p>
            <w:r>
              <w:rPr>
                <w:rFonts w:ascii="Calibri" w:hAnsi="Calibri"/>
                <w:sz w:val="22"/>
              </w:rPr>
              <w:t>$1,035.2M</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FY2026</w:t>
            </w:r>
          </w:p>
        </w:tc>
        <w:tc>
          <w:tcPr>
            <w:tcW w:type="dxa" w:w="1080"/>
          </w:tcPr>
          <w:p>
            <w:r>
              <w:rPr>
                <w:rFonts w:ascii="Calibri" w:hAnsi="Calibri"/>
                <w:sz w:val="22"/>
              </w:rPr>
              <w:t>$4,170.7M</w:t>
            </w:r>
          </w:p>
        </w:tc>
        <w:tc>
          <w:tcPr>
            <w:tcW w:type="dxa" w:w="1080"/>
          </w:tcPr>
          <w:p>
            <w:r>
              <w:rPr>
                <w:rFonts w:ascii="Calibri" w:hAnsi="Calibri"/>
                <w:sz w:val="22"/>
              </w:rPr>
              <w:t>$4,156.3M</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$864.2M</w:t>
            </w:r>
          </w:p>
        </w:tc>
        <w:tc>
          <w:tcPr>
            <w:tcW w:type="dxa" w:w="1080"/>
          </w:tcPr>
          <w:p>
            <w:r>
              <w:rPr>
                <w:rFonts w:ascii="Calibri" w:hAnsi="Calibri"/>
                <w:sz w:val="22"/>
              </w:rPr>
              <w:t>$864.3M</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Post-earnings baseline uses consensus as of May 6, 2026 (approximately 5 trading days after Q1 2026 earnings on April 29, 2026). FY2027 estimates show a modest +0.6% upward revision since the Q1 print, suggesting the street is incrementally more constructive on the outer year as capital deployment compounds.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VICI has significantly underperformed both the REIT sector (IYR +6.3%) and the S&amp;P 500 (SPY +4.1%) since Q1 earnings, declining ~5.2% to ~$27.10 as of July 29, 2026. </w:t>
      </w:r>
      <w:r>
        <w:rPr>
          <w:rFonts w:ascii="Calibri" w:hAnsi="Calibri"/>
          <w:b/>
          <w:color w:val="525866"/>
          <w:sz w:val="22"/>
        </w:rPr>
        <w:t>The underperformance is sentiment-driven, not fundamental</w:t>
      </w:r>
      <w:r>
        <w:rPr>
          <w:rFonts w:ascii="Calibri" w:hAnsi="Calibri"/>
          <w:color w:val="525866"/>
          <w:sz w:val="22"/>
        </w:rPr>
        <w:t xml:space="preserve"> — estimate revisions are flat, guidance was raised, and capital deployment has been active; the gap is almost entirely attributable to the Caesars privatization overhang and rate sensitivity, creating a potential re-rating catalyst if management addresses the Caesars narrative on the Q2 call.</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VICI vs. IYR (REIT ETF) vs. S&amp;P 500 — Indexed to 100 at Q1 2026 Earnings (Apr 29, 2026). Source: Stock Price Data.</w:t>
      </w:r>
    </w:p>
    <w:p>
      <w:pPr>
        <w:pStyle w:val="ListBullet"/>
        <w:ind w:left="360" w:hanging="360"/>
      </w:pPr>
      <w:r>
        <w:rPr>
          <w:rFonts w:ascii="Calibri" w:hAnsi="Calibri"/>
          <w:b/>
          <w:color w:val="525866"/>
          <w:sz w:val="22"/>
        </w:rPr>
        <w:t xml:space="preserve">VICI (dark navy): </w:t>
      </w:r>
      <w:r>
        <w:rPr>
          <w:rFonts w:ascii="Calibri" w:hAnsi="Calibri"/>
          <w:color w:val="525866"/>
          <w:sz w:val="22"/>
        </w:rPr>
        <w:t>Down ~5.2% from $28.60 on Apr 29 to ~$27.10 on Jul 29, 2026. Stock peaked near $29.20 on Apr 30 (day after earnings) then trended lower through June, hitting a trough near $25.93 on Jul 9 before a partial recovery.</w:t>
      </w:r>
    </w:p>
    <w:p>
      <w:pPr>
        <w:pStyle w:val="ListBullet"/>
        <w:ind w:left="360" w:hanging="360"/>
      </w:pPr>
      <w:r>
        <w:rPr>
          <w:rFonts w:ascii="Calibri" w:hAnsi="Calibri"/>
          <w:b/>
          <w:color w:val="525866"/>
          <w:sz w:val="22"/>
        </w:rPr>
        <w:t xml:space="preserve">IYR — iShares U.S. Real Estate ETF (grey dashed): </w:t>
      </w:r>
      <w:r>
        <w:rPr>
          <w:rFonts w:ascii="Calibri" w:hAnsi="Calibri"/>
          <w:color w:val="525866"/>
          <w:sz w:val="22"/>
        </w:rPr>
        <w:t>Up +6.3% over the same period, reflecting broader REIT sector recovery on rate expectations. IYR is the appropriate sector benchmark for VICI as a REIT.</w:t>
      </w:r>
    </w:p>
    <w:p>
      <w:pPr>
        <w:pStyle w:val="ListBullet"/>
        <w:ind w:left="360" w:hanging="360"/>
      </w:pPr>
      <w:r>
        <w:rPr>
          <w:rFonts w:ascii="Calibri" w:hAnsi="Calibri"/>
          <w:b/>
          <w:color w:val="525866"/>
          <w:sz w:val="22"/>
        </w:rPr>
        <w:t xml:space="preserve">S&amp;P 500 / SPY (light grey dotted): </w:t>
      </w:r>
      <w:r>
        <w:rPr>
          <w:rFonts w:ascii="Calibri" w:hAnsi="Calibri"/>
          <w:color w:val="525866"/>
          <w:sz w:val="22"/>
        </w:rPr>
        <w:t>Up +4.1%, reflecting continued equity market strength.</w:t>
      </w:r>
    </w:p>
    <w:p>
      <w:pPr>
        <w:pStyle w:val="ListBullet"/>
        <w:ind w:left="360" w:hanging="360"/>
      </w:pPr>
      <w:r>
        <w:rPr>
          <w:rFonts w:ascii="Calibri" w:hAnsi="Calibri"/>
          <w:b/>
          <w:color w:val="525866"/>
          <w:sz w:val="22"/>
        </w:rPr>
        <w:t xml:space="preserve">Key events marked: </w:t>
      </w:r>
      <w:r>
        <w:rPr>
          <w:rFonts w:ascii="Calibri" w:hAnsi="Calibri"/>
          <w:color w:val="525866"/>
          <w:sz w:val="22"/>
        </w:rPr>
        <w:t>Golden Entertainment close (Apr 30), Club Med/Carambola deal (Jun 15), Gamehost close (Jun 24), Cabot Golf deal (Jul 7). None of these positive capital deployment events arrested the stock's decline, underscoring that the Caesars overhang and rate sensitivity dominated sentiment.</w:t>
      </w:r>
    </w:p>
    <w:p>
      <w:pPr>
        <w:pStyle w:val="ListBullet"/>
        <w:ind w:left="360" w:hanging="360"/>
      </w:pPr>
      <w:r>
        <w:rPr>
          <w:rFonts w:ascii="Calibri" w:hAnsi="Calibri"/>
          <w:b/>
          <w:color w:val="525866"/>
          <w:sz w:val="22"/>
        </w:rPr>
        <w:t xml:space="preserve">Valuation context: </w:t>
      </w:r>
      <w:r>
        <w:rPr>
          <w:rFonts w:ascii="Calibri" w:hAnsi="Calibri"/>
          <w:color w:val="525866"/>
          <w:sz w:val="22"/>
        </w:rPr>
        <w:t>At ~$27.10, VICI trades at approximately 11.0x FY2026 AFFO consensus ($2.463), near a 5-year low P/AFFO multiple. The dividend yield has expanded to ~6.6% ($1.80 annualized / $27.10), near 5-year highs. JPMorgan cut its price target to $32 (from $34) on Jul 7; Morgan Stanley cut to $31 (from $38) on Jul 8, both maintaining constructive ratings.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Caesars privatization deal (announced May 28, 2026)</w:t>
      </w:r>
      <w:r>
        <w:rPr>
          <w:rFonts w:ascii="Calibri" w:hAnsi="Calibri"/>
          <w:color w:val="525866"/>
          <w:sz w:val="22"/>
        </w:rPr>
        <w:t xml:space="preserve"> — Caesars agreed to be acquired by Fertitta Entertainment, which introduces uncertainty around VICI's largest tenant relationship and has been the primary driver of stock underperformance. On the positive side, VICI has been highly active on capital deployment, closing multiple transactions and adding new experiential categories.</w:t>
      </w:r>
    </w:p>
    <w:p>
      <w:pPr>
        <w:pStyle w:val="ListBullet"/>
        <w:ind w:left="360" w:hanging="360"/>
      </w:pPr>
      <w:r>
        <w:rPr>
          <w:rFonts w:ascii="Calibri" w:hAnsi="Calibri"/>
          <w:b/>
          <w:color w:val="525866"/>
          <w:sz w:val="22"/>
        </w:rPr>
        <w:t xml:space="preserve">May 28, 2026 — Caesars Entertainment agrees to be acquired by Fertitta Entertainment (privatization): </w:t>
      </w:r>
      <w:r>
        <w:rPr>
          <w:rFonts w:ascii="Calibri" w:hAnsi="Calibri"/>
          <w:color w:val="525866"/>
          <w:sz w:val="22"/>
        </w:rPr>
        <w:t xml:space="preserve">VICI's largest tenant (Caesars) announced a definitive agreement to go private. Caesars will no longer be listed on NASDAQ upon completion. This is the single biggest overhang on VICI stock — investors are uncertain about the new owner's financial profile, lease amendment appetite, and long-term strategic direction. VICI management has declined to comment on the deal as a matter of policy. Caesars did not host a Q2 2026 earnings call due to the pending transaction. </w:t>
      </w:r>
      <w:r>
        <w:rPr>
          <w:rFonts w:ascii="Calibri" w:hAnsi="Calibri"/>
          <w:b/>
          <w:color w:val="525866"/>
          <w:sz w:val="22"/>
        </w:rPr>
        <w:t xml:space="preserve">Implication: </w:t>
      </w:r>
      <w:r>
        <w:rPr>
          <w:rFonts w:ascii="Calibri" w:hAnsi="Calibri"/>
          <w:color w:val="525866"/>
          <w:sz w:val="22"/>
        </w:rPr>
        <w:t>Reduces transparency on VICI's largest tenant; potential for lease renegotiation risk, though VICI's triple-net structure and corporate guarantees provide contractual protection.</w:t>
      </w:r>
    </w:p>
    <w:p>
      <w:pPr>
        <w:pStyle w:val="ListBullet"/>
        <w:ind w:left="360" w:hanging="360"/>
      </w:pPr>
      <w:r>
        <w:rPr>
          <w:rFonts w:ascii="Calibri" w:hAnsi="Calibri"/>
          <w:b/>
          <w:color w:val="525866"/>
          <w:sz w:val="22"/>
        </w:rPr>
        <w:t xml:space="preserve">April 30, 2026 — Golden Entertainment acquisition closes ($1.16B): </w:t>
      </w:r>
      <w:r>
        <w:rPr>
          <w:rFonts w:ascii="Calibri" w:hAnsi="Calibri"/>
          <w:color w:val="525866"/>
          <w:sz w:val="22"/>
        </w:rPr>
        <w:t xml:space="preserve">VICI closed its previously announced acquisition of 7 casino properties from Golden Entertainment, adding its 15th tenant (Blake Sartini-led entity) and entering the Las Vegas locals market for the first time. Initial annual rent of $87M at a 7.5% cap rate; 30-year initial term with 2% annual escalators starting Year 3. Funded with cash on hand and forward equity settlement. </w:t>
      </w:r>
      <w:r>
        <w:rPr>
          <w:rFonts w:ascii="Calibri" w:hAnsi="Calibri"/>
          <w:b/>
          <w:color w:val="525866"/>
          <w:sz w:val="22"/>
        </w:rPr>
        <w:t xml:space="preserve">Implication: </w:t>
      </w:r>
      <w:r>
        <w:rPr>
          <w:rFonts w:ascii="Calibri" w:hAnsi="Calibri"/>
          <w:color w:val="525866"/>
          <w:sz w:val="22"/>
        </w:rPr>
        <w:t>Immediately AFFO-accretive; adds geographic diversification within Nevada.</w:t>
      </w:r>
    </w:p>
    <w:p>
      <w:pPr>
        <w:pStyle w:val="ListBullet"/>
        <w:ind w:left="360" w:hanging="360"/>
      </w:pPr>
      <w:r>
        <w:rPr>
          <w:rFonts w:ascii="Calibri" w:hAnsi="Calibri"/>
          <w:b/>
          <w:color w:val="525866"/>
          <w:sz w:val="22"/>
        </w:rPr>
        <w:t xml:space="preserve">June 15, 2026 — VICI and Club Med announce Carambola Beach Resort acquisition (St. Croix, USVI): </w:t>
      </w:r>
      <w:r>
        <w:rPr>
          <w:rFonts w:ascii="Calibri" w:hAnsi="Calibri"/>
          <w:color w:val="525866"/>
          <w:sz w:val="22"/>
        </w:rPr>
        <w:t xml:space="preserve">VICI acquired the historic 150-key Carambola Beach Resort and entered a long-term triple-net lease with Club Med. Total investment ~$75M ($55M redevelopment funding). 15-year initial term with two 10-year extension options. First build-to-suit investment; marks VICI's entry into the Caribbean and premium all-inclusive hospitality. Construction begins summer 2026; targeted reopening Q4 2027. </w:t>
      </w:r>
      <w:r>
        <w:rPr>
          <w:rFonts w:ascii="Calibri" w:hAnsi="Calibri"/>
          <w:b/>
          <w:color w:val="525866"/>
          <w:sz w:val="22"/>
        </w:rPr>
        <w:t xml:space="preserve">Implication: </w:t>
      </w:r>
      <w:r>
        <w:rPr>
          <w:rFonts w:ascii="Calibri" w:hAnsi="Calibri"/>
          <w:color w:val="525866"/>
          <w:sz w:val="22"/>
        </w:rPr>
        <w:t>Diversifies VICI beyond gaming into premium experiential hospitality; adds Club Med as a new non-gaming tenant.</w:t>
      </w:r>
    </w:p>
    <w:p>
      <w:pPr>
        <w:pStyle w:val="ListBullet"/>
        <w:ind w:left="360" w:hanging="360"/>
      </w:pPr>
      <w:r>
        <w:rPr>
          <w:rFonts w:ascii="Calibri" w:hAnsi="Calibri"/>
          <w:b/>
          <w:color w:val="525866"/>
          <w:sz w:val="22"/>
        </w:rPr>
        <w:t xml:space="preserve">June 24, 2026 — Gamehost/PURE Canadian portfolio acquisition closes (CAD$200.6M / USD$144.4M): </w:t>
      </w:r>
      <w:r>
        <w:rPr>
          <w:rFonts w:ascii="Calibri" w:hAnsi="Calibri"/>
          <w:color w:val="525866"/>
          <w:sz w:val="22"/>
        </w:rPr>
        <w:t xml:space="preserve">VICI completed its first international gaming real estate acquisition — Deerfoot Inn &amp; Casino, Great Northern Casino, and two adjacent hotels in Alberta, Canada. Added to existing PURE master lease; annual rent increased by CAD$16.1M at an 8.0% cap rate; lease extended to 25-year initial term. </w:t>
      </w:r>
      <w:r>
        <w:rPr>
          <w:rFonts w:ascii="Calibri" w:hAnsi="Calibri"/>
          <w:b/>
          <w:color w:val="525866"/>
          <w:sz w:val="22"/>
        </w:rPr>
        <w:t xml:space="preserve">Implication: </w:t>
      </w:r>
      <w:r>
        <w:rPr>
          <w:rFonts w:ascii="Calibri" w:hAnsi="Calibri"/>
          <w:color w:val="525866"/>
          <w:sz w:val="22"/>
        </w:rPr>
        <w:t>Establishes VICI's international platform; demonstrates ability to source deals outside the U.S. gaming market.</w:t>
      </w:r>
    </w:p>
    <w:p>
      <w:pPr>
        <w:pStyle w:val="ListBullet"/>
        <w:ind w:left="360" w:hanging="360"/>
      </w:pPr>
      <w:r>
        <w:rPr>
          <w:rFonts w:ascii="Calibri" w:hAnsi="Calibri"/>
          <w:b/>
          <w:color w:val="525866"/>
          <w:sz w:val="22"/>
        </w:rPr>
        <w:t xml:space="preserve">July 7, 2026 — VICI announces first Cabot partnership / entry into Destination Golf Experience sector: </w:t>
      </w:r>
      <w:r>
        <w:rPr>
          <w:rFonts w:ascii="Calibri" w:hAnsi="Calibri"/>
          <w:color w:val="525866"/>
          <w:sz w:val="22"/>
        </w:rPr>
        <w:t xml:space="preserve">VICI announced its first transaction with Cabot, entering the destination golf experience sector. Specific financial terms not yet disclosed in available sources. </w:t>
      </w:r>
      <w:r>
        <w:rPr>
          <w:rFonts w:ascii="Calibri" w:hAnsi="Calibri"/>
          <w:b/>
          <w:color w:val="525866"/>
          <w:sz w:val="22"/>
        </w:rPr>
        <w:t xml:space="preserve">Implication: </w:t>
      </w:r>
      <w:r>
        <w:rPr>
          <w:rFonts w:ascii="Calibri" w:hAnsi="Calibri"/>
          <w:color w:val="525866"/>
          <w:sz w:val="22"/>
        </w:rPr>
        <w:t>Continues VICI's non-gaming diversification strategy; adds another premium experiential category alongside Club Med, Chelsea Piers, Canyon Ranch, and Great Wolf.</w:t>
      </w:r>
    </w:p>
    <w:p>
      <w:pPr>
        <w:pStyle w:val="ListBullet"/>
        <w:ind w:left="360" w:hanging="360"/>
      </w:pPr>
      <w:r>
        <w:rPr>
          <w:rFonts w:ascii="Calibri" w:hAnsi="Calibri"/>
          <w:b/>
          <w:color w:val="525866"/>
          <w:sz w:val="22"/>
        </w:rPr>
        <w:t xml:space="preserve">July 7–8, 2026 — Analyst price target cuts (JPMorgan, Morgan Stanley): </w:t>
      </w:r>
      <w:r>
        <w:rPr>
          <w:rFonts w:ascii="Calibri" w:hAnsi="Calibri"/>
          <w:color w:val="525866"/>
          <w:sz w:val="22"/>
        </w:rPr>
        <w:t xml:space="preserve">JPMorgan cut PT to $32 from $34; Morgan Stanley cut PT to $31 from $38. Both firms appear to have maintained constructive ratings (Moderate Buy consensus per July 8 reports). Cuts likely reflect Caesars privatization uncertainty and rate sensitivity rather than fundamental deterioration. </w:t>
      </w:r>
      <w:r>
        <w:rPr>
          <w:rFonts w:ascii="Calibri" w:hAnsi="Calibri"/>
          <w:b/>
          <w:color w:val="525866"/>
          <w:sz w:val="22"/>
        </w:rPr>
        <w:t xml:space="preserve">Implication: </w:t>
      </w:r>
      <w:r>
        <w:rPr>
          <w:rFonts w:ascii="Calibri" w:hAnsi="Calibri"/>
          <w:color w:val="525866"/>
          <w:sz w:val="22"/>
        </w:rPr>
        <w:t>Reflects near-term sentiment headwinds; PT cuts have already been absorbed by the stock.</w:t>
      </w:r>
    </w:p>
    <w:p>
      <w:pPr>
        <w:pStyle w:val="ListBullet"/>
        <w:ind w:left="360" w:hanging="360"/>
      </w:pPr>
      <w:r>
        <w:rPr>
          <w:rFonts w:ascii="Calibri" w:hAnsi="Calibri"/>
          <w:b/>
          <w:color w:val="525866"/>
          <w:sz w:val="22"/>
        </w:rPr>
        <w:t xml:space="preserve">June 25, 2026 — RBC commentary on Caesars lease and tenant visibility concerns: </w:t>
      </w:r>
      <w:r>
        <w:rPr>
          <w:rFonts w:ascii="Calibri" w:hAnsi="Calibri"/>
          <w:color w:val="525866"/>
          <w:sz w:val="22"/>
        </w:rPr>
        <w:t xml:space="preserve">RBC noted that VICI's gaming portfolio is offset by Caesars lease and tenant visibility concerns, reflecting the broader market anxiety around the privatization. </w:t>
      </w:r>
      <w:r>
        <w:rPr>
          <w:rFonts w:ascii="Calibri" w:hAnsi="Calibri"/>
          <w:b/>
          <w:color w:val="525866"/>
          <w:sz w:val="22"/>
        </w:rPr>
        <w:t xml:space="preserve">Implication: </w:t>
      </w:r>
      <w:r>
        <w:rPr>
          <w:rFonts w:ascii="Calibri" w:hAnsi="Calibri"/>
          <w:color w:val="525866"/>
          <w:sz w:val="22"/>
        </w:rPr>
        <w:t>Caesars narrative remains the dominant near-term stock driver; any clarity on the Q2 call could be a positive catalyst.</w:t>
      </w:r>
    </w:p>
    <w:p>
      <w:pPr>
        <w:pStyle w:val="ListBullet"/>
        <w:ind w:left="360" w:hanging="360"/>
      </w:pPr>
      <w:r>
        <w:rPr>
          <w:rFonts w:ascii="Calibri" w:hAnsi="Calibri"/>
          <w:b/>
          <w:color w:val="525866"/>
          <w:sz w:val="22"/>
        </w:rPr>
        <w:t xml:space="preserve">June 4, 2026 — Quarterly dividend declared at $0.45/share: </w:t>
      </w:r>
      <w:r>
        <w:rPr>
          <w:rFonts w:ascii="Calibri" w:hAnsi="Calibri"/>
          <w:color w:val="525866"/>
          <w:sz w:val="22"/>
        </w:rPr>
        <w:t xml:space="preserve">VICI declared its regular quarterly cash dividend of $0.45/share for Q2 2026, payable July 9, 2026. Consistent with Q1 2026 and Q3 2025 levels. Annualized dividend of $1.80/share implies ~6.6% yield at current price. </w:t>
      </w:r>
      <w:r>
        <w:rPr>
          <w:rFonts w:ascii="Calibri" w:hAnsi="Calibri"/>
          <w:b/>
          <w:color w:val="525866"/>
          <w:sz w:val="22"/>
        </w:rPr>
        <w:t xml:space="preserve">Implication: </w:t>
      </w:r>
      <w:r>
        <w:rPr>
          <w:rFonts w:ascii="Calibri" w:hAnsi="Calibri"/>
          <w:color w:val="525866"/>
          <w:sz w:val="22"/>
        </w:rPr>
        <w:t>Dividend stability maintained; 8-year consecutive annual growth CAGR of 7% continues.</w:t>
      </w:r>
    </w:p>
    <w:p>
      <w:pPr>
        <w:pStyle w:val="ListBullet"/>
        <w:ind w:left="360" w:hanging="360"/>
      </w:pPr>
      <w:r>
        <w:rPr>
          <w:rFonts w:ascii="Calibri" w:hAnsi="Calibri"/>
          <w:b/>
          <w:color w:val="525866"/>
          <w:sz w:val="22"/>
        </w:rPr>
        <w:t xml:space="preserve">April 21, 2026 — MGM Northfield Park / Clairvest lease (14th tenant): </w:t>
      </w:r>
      <w:r>
        <w:rPr>
          <w:rFonts w:ascii="Calibri" w:hAnsi="Calibri"/>
          <w:color w:val="525866"/>
          <w:sz w:val="22"/>
        </w:rPr>
        <w:t xml:space="preserve">VICI entered a new 25-year triple-net lease with Clairvest for MGM Northfield Park in Ohio (initial annual base rent $53.0M), in connection with MGM's sale of operations to Clairvest. MGM master lease amended with no change to total rent collected by VICI. </w:t>
      </w:r>
      <w:r>
        <w:rPr>
          <w:rFonts w:ascii="Calibri" w:hAnsi="Calibri"/>
          <w:b/>
          <w:color w:val="525866"/>
          <w:sz w:val="22"/>
        </w:rPr>
        <w:t xml:space="preserve">Implication: </w:t>
      </w:r>
      <w:r>
        <w:rPr>
          <w:rFonts w:ascii="Calibri" w:hAnsi="Calibri"/>
          <w:color w:val="525866"/>
          <w:sz w:val="22"/>
        </w:rPr>
        <w:t>Tenant diversification positive; no economic impact to VICI but reduces MGM concentration.</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(reported in the last 60 days) presents a </w:t>
      </w:r>
      <w:r>
        <w:rPr>
          <w:rFonts w:ascii="Calibri" w:hAnsi="Calibri"/>
          <w:b/>
          <w:color w:val="525866"/>
          <w:sz w:val="22"/>
        </w:rPr>
        <w:t>mixed but manageable read-through for VICI</w:t>
      </w:r>
      <w:r>
        <w:rPr>
          <w:rFonts w:ascii="Calibri" w:hAnsi="Calibri"/>
          <w:color w:val="525866"/>
          <w:sz w:val="22"/>
        </w:rPr>
        <w:t>: Caesars' Las Vegas EBITDA declined 12.6% YoY (negative optics for VICI's largest tenant), but Caesars' regional segment — which covers the bulk of VICI's rent — grew 11.2% YoY; Wynn's Q1 Las Vegas data (reported May 7) showed strong luxury demand with hold-adjusted EBITDA up 5% and best-ever March; and BetMGM's Q2 update (July 28) highlighted intensifying digital competition but confirmed Nevada remains strategically central to MGM. None of these read-throughs change VICI's contractual rent receipts, but they inform the market's view of tenant health and lease coverage.</w:t>
      </w:r>
    </w:p>
    <w:p>
      <w:pPr>
        <w:pStyle w:val="Heading3"/>
      </w:pPr>
      <w:r>
        <w:rPr>
          <w:rFonts w:ascii="Calibri" w:hAnsi="Calibri"/>
          <w:b/>
          <w:color w:val="3B4259"/>
          <w:sz w:val="24"/>
        </w:rPr>
        <w:t>Caesars Entertainment (CZR) — Q2 2026 Earnings Release (July 28, 2026)</w:t>
      </w:r>
    </w:p>
    <w:p>
      <w:r>
        <w:rPr>
          <w:rFonts w:ascii="Calibri" w:hAnsi="Calibri"/>
          <w:b/>
          <w:color w:val="525866"/>
          <w:sz w:val="22"/>
        </w:rPr>
        <w:t xml:space="preserve">Relevance to VICI: </w:t>
      </w:r>
      <w:r>
        <w:rPr>
          <w:rFonts w:ascii="Calibri" w:hAnsi="Calibri"/>
          <w:color w:val="525866"/>
          <w:sz w:val="22"/>
        </w:rPr>
        <w:t>Caesars is VICI's largest tenant, with two master leases (Las Vegas and Regional). Caesars' financial health and rent coverage are the most watched metrics for VICI investors.</w:t>
      </w:r>
    </w:p>
    <w:p>
      <w:pPr>
        <w:pStyle w:val="ListBullet"/>
        <w:ind w:left="360" w:hanging="360"/>
      </w:pPr>
      <w:r>
        <w:rPr>
          <w:rFonts w:ascii="Calibri" w:hAnsi="Calibri"/>
          <w:b/>
          <w:color w:val="525866"/>
          <w:sz w:val="22"/>
        </w:rPr>
        <w:t xml:space="preserve">Las Vegas EBITDA declined 12.6% YoY to $410M (vs. $469M in Q2 2025): </w:t>
      </w:r>
      <w:r>
        <w:rPr>
          <w:rFonts w:ascii="Calibri" w:hAnsi="Calibri"/>
          <w:color w:val="525866"/>
          <w:sz w:val="22"/>
        </w:rPr>
        <w:t>Las Vegas net revenues fell 3.5% YoY to $1,017M. Hotel revenues declined to $495M from $509M. This is the most negative read-through for VICI — the Las Vegas master lease covers Caesars Palace, Paris, Bally's, and other Strip assets. However, VICI's triple-net lease means Caesars bears all operating costs; VICI's rent is fixed and contractually guaranteed regardless of EBITDA performance.</w:t>
      </w:r>
    </w:p>
    <w:p>
      <w:pPr>
        <w:pStyle w:val="ListBullet"/>
        <w:ind w:left="360" w:hanging="360"/>
      </w:pPr>
      <w:r>
        <w:rPr>
          <w:rFonts w:ascii="Calibri" w:hAnsi="Calibri"/>
          <w:b/>
          <w:color w:val="525866"/>
          <w:sz w:val="22"/>
        </w:rPr>
        <w:t xml:space="preserve">Regional EBITDA grew 11.2% YoY to $488M (vs. $439M in Q2 2025): </w:t>
      </w:r>
      <w:r>
        <w:rPr>
          <w:rFonts w:ascii="Calibri" w:hAnsi="Calibri"/>
          <w:color w:val="525866"/>
          <w:sz w:val="22"/>
        </w:rPr>
        <w:t>Regional net revenues rose 9.4% YoY to $1,570M. This is a strongly positive read-through — the Caesars Regional master lease (covering ~18 regional properties) is VICI's largest single rent stream. Regional EBITDA growth of 11.2% implies strong rent coverage improvement, directly supporting VICI's lease security.</w:t>
      </w:r>
    </w:p>
    <w:p>
      <w:pPr>
        <w:pStyle w:val="ListBullet"/>
        <w:ind w:left="360" w:hanging="360"/>
      </w:pPr>
      <w:r>
        <w:rPr>
          <w:rFonts w:ascii="Calibri" w:hAnsi="Calibri"/>
          <w:b/>
          <w:color w:val="525866"/>
          <w:sz w:val="22"/>
        </w:rPr>
        <w:t xml:space="preserve">Consolidated Adjusted EBITDA declined 3.7% YoY to $920M: </w:t>
      </w:r>
      <w:r>
        <w:rPr>
          <w:rFonts w:ascii="Calibri" w:hAnsi="Calibri"/>
          <w:color w:val="525866"/>
          <w:sz w:val="22"/>
        </w:rPr>
        <w:t>The Las Vegas weakness more than offset regional strength at the consolidated level. Net loss improved to $62M from $82M. Total debt of $11.8B; net debt of $10.8B; liquidity of $2.9B.</w:t>
      </w:r>
    </w:p>
    <w:p>
      <w:pPr>
        <w:pStyle w:val="ListBullet"/>
        <w:ind w:left="360" w:hanging="360"/>
      </w:pPr>
      <w:r>
        <w:rPr>
          <w:rFonts w:ascii="Calibri" w:hAnsi="Calibri"/>
          <w:b/>
          <w:color w:val="525866"/>
          <w:sz w:val="22"/>
        </w:rPr>
        <w:t xml:space="preserve">No Q2 earnings call hosted: </w:t>
      </w:r>
      <w:r>
        <w:rPr>
          <w:rFonts w:ascii="Calibri" w:hAnsi="Calibri"/>
          <w:color w:val="525866"/>
          <w:sz w:val="22"/>
        </w:rPr>
        <w:t xml:space="preserve">Due to the pending Fertitta Entertainment acquisition, Caesars did not host a quarterly conference call. This eliminates any management commentary that could have addressed VICI's Caesars-related concerns. </w:t>
      </w:r>
      <w:r>
        <w:rPr>
          <w:rFonts w:ascii="Calibri" w:hAnsi="Calibri"/>
          <w:b/>
          <w:color w:val="525866"/>
          <w:sz w:val="22"/>
        </w:rPr>
        <w:t xml:space="preserve">Implication for VICI: </w:t>
      </w:r>
      <w:r>
        <w:rPr>
          <w:rFonts w:ascii="Calibri" w:hAnsi="Calibri"/>
          <w:color w:val="525866"/>
          <w:sz w:val="22"/>
        </w:rPr>
        <w:t>The absence of a Caesars call means VICI management will face heightened analyst scrutiny on the Q2 call regarding Caesars lease coverage, privatization implications, and any lease amendment discussions.</w:t>
      </w:r>
    </w:p>
    <w:p>
      <w:pPr>
        <w:pStyle w:val="ListBullet"/>
        <w:ind w:left="360" w:hanging="360"/>
      </w:pPr>
      <w:r>
        <w:rPr>
          <w:rFonts w:ascii="Calibri" w:hAnsi="Calibri"/>
          <w:b/>
          <w:color w:val="525866"/>
          <w:sz w:val="22"/>
        </w:rPr>
        <w:t xml:space="preserve">Lease payments to VICI and GLPI explicitly noted: </w:t>
      </w:r>
      <w:r>
        <w:rPr>
          <w:rFonts w:ascii="Calibri" w:hAnsi="Calibri"/>
          <w:color w:val="525866"/>
          <w:sz w:val="22"/>
        </w:rPr>
        <w:t>Caesars' earnings release explicitly flagged that "payments under our leases with affiliates of VICI and GLPI, which can be significant" are uses of cash not reflected in Adjusted EBITDA. This confirms the materiality of VICI's rent stream but also highlights that lease payments are a significant cash burden on Caesars' balance sheet.</w:t>
      </w:r>
    </w:p>
    <w:p>
      <w:pPr>
        <w:pStyle w:val="Heading3"/>
      </w:pPr>
      <w:r>
        <w:rPr>
          <w:rFonts w:ascii="Calibri" w:hAnsi="Calibri"/>
          <w:b/>
          <w:color w:val="3B4259"/>
          <w:sz w:val="24"/>
        </w:rPr>
        <w:t>Wynn Resorts (WYNN) — Q1 2026 Earnings Call (May 7, 2026)</w:t>
      </w:r>
    </w:p>
    <w:p>
      <w:r>
        <w:rPr>
          <w:rFonts w:ascii="Calibri" w:hAnsi="Calibri"/>
          <w:b/>
          <w:color w:val="525866"/>
          <w:sz w:val="22"/>
        </w:rPr>
        <w:t xml:space="preserve">Relevance to VICI: </w:t>
      </w:r>
      <w:r>
        <w:rPr>
          <w:rFonts w:ascii="Calibri" w:hAnsi="Calibri"/>
          <w:color w:val="525866"/>
          <w:sz w:val="22"/>
        </w:rPr>
        <w:t>Wynn operates on the Las Vegas Strip (Wynn Las Vegas, Encore) and is a key read-through for Las Vegas market conditions, luxury consumer demand, and Strip property investment trends — all relevant to VICI's Strip tenants (Caesars, MGM, Venetian).</w:t>
      </w:r>
    </w:p>
    <w:p>
      <w:pPr>
        <w:pStyle w:val="ListBullet"/>
        <w:ind w:left="360" w:hanging="360"/>
      </w:pPr>
      <w:r>
        <w:rPr>
          <w:rFonts w:ascii="Calibri" w:hAnsi="Calibri"/>
          <w:b/>
          <w:color w:val="525866"/>
          <w:sz w:val="22"/>
        </w:rPr>
        <w:t xml:space="preserve">Las Vegas hold-adjusted EBITDAR grew 5% YoY to $232.5M in Q1 2026, including best-ever March: </w:t>
      </w:r>
      <w:r>
        <w:rPr>
          <w:rFonts w:ascii="Calibri" w:hAnsi="Calibri"/>
          <w:color w:val="525866"/>
          <w:sz w:val="22"/>
        </w:rPr>
        <w:t xml:space="preserve">Casino revenues up 9%+ driven by increases in both drop and handle. Hotel RevPAR up nearly 10% YoY on a 12% rate increase. EBITDAR margin of 35.1% on $661.9M operating revenue. </w:t>
      </w:r>
      <w:r>
        <w:rPr>
          <w:rFonts w:ascii="Calibri" w:hAnsi="Calibri"/>
          <w:b/>
          <w:color w:val="525866"/>
          <w:sz w:val="22"/>
        </w:rPr>
        <w:t xml:space="preserve">Read-through for VICI: </w:t>
      </w:r>
      <w:r>
        <w:rPr>
          <w:rFonts w:ascii="Calibri" w:hAnsi="Calibri"/>
          <w:color w:val="525866"/>
          <w:sz w:val="22"/>
        </w:rPr>
        <w:t>Strong luxury demand on the Strip in Q1 2026 is a positive signal for VICI's Strip tenants heading into Q2.</w:t>
      </w:r>
    </w:p>
    <w:p>
      <w:pPr>
        <w:pStyle w:val="ListBullet"/>
        <w:ind w:left="360" w:hanging="360"/>
      </w:pPr>
      <w:r>
        <w:rPr>
          <w:rFonts w:ascii="Calibri" w:hAnsi="Calibri"/>
          <w:b/>
          <w:color w:val="525866"/>
          <w:sz w:val="22"/>
        </w:rPr>
        <w:t xml:space="preserve">Q2 2026 momentum confirmed positive: </w:t>
      </w:r>
      <w:r>
        <w:rPr>
          <w:rFonts w:ascii="Calibri" w:hAnsi="Calibri"/>
          <w:color w:val="525866"/>
          <w:sz w:val="22"/>
        </w:rPr>
        <w:t xml:space="preserve">CEO Craig Billings stated that "drop and handle both up versus the prior year" and "ADR up year-on-year in the month of April." Group business on pace to grow both room nights and rate above 2025 levels. Management "continues to feel good about the business in Las Vegas for the remainder of 2026." </w:t>
      </w:r>
      <w:r>
        <w:rPr>
          <w:rFonts w:ascii="Calibri" w:hAnsi="Calibri"/>
          <w:b/>
          <w:color w:val="525866"/>
          <w:sz w:val="22"/>
        </w:rPr>
        <w:t xml:space="preserve">Read-through for VICI: </w:t>
      </w:r>
      <w:r>
        <w:rPr>
          <w:rFonts w:ascii="Calibri" w:hAnsi="Calibri"/>
          <w:color w:val="525866"/>
          <w:sz w:val="22"/>
        </w:rPr>
        <w:t>Wynn's Q2 forward commentary (given in May) was constructive for Las Vegas Strip conditions heading into VICI's Q2 reporting period.</w:t>
      </w:r>
    </w:p>
    <w:p>
      <w:pPr>
        <w:pStyle w:val="ListBullet"/>
        <w:ind w:left="360" w:hanging="360"/>
      </w:pPr>
      <w:r>
        <w:rPr>
          <w:rFonts w:ascii="Calibri" w:hAnsi="Calibri"/>
          <w:b/>
          <w:color w:val="525866"/>
          <w:sz w:val="22"/>
        </w:rPr>
        <w:t xml:space="preserve">Luxury segment outperforming; little resistance to price: </w:t>
      </w:r>
      <w:r>
        <w:rPr>
          <w:rFonts w:ascii="Calibri" w:hAnsi="Calibri"/>
          <w:color w:val="525866"/>
          <w:sz w:val="22"/>
        </w:rPr>
        <w:t xml:space="preserve">Gaming market share, RevPAR, and retail sales all performed "extremely well" in Q1 and continued into Q2. ADR growth signals minimal price resistance. Citywide events (CONEXPO: ~140,000 attendees in March) created compression benefiting premium properties. </w:t>
      </w:r>
      <w:r>
        <w:rPr>
          <w:rFonts w:ascii="Calibri" w:hAnsi="Calibri"/>
          <w:b/>
          <w:color w:val="525866"/>
          <w:sz w:val="22"/>
        </w:rPr>
        <w:t xml:space="preserve">Read-through for VICI: </w:t>
      </w:r>
      <w:r>
        <w:rPr>
          <w:rFonts w:ascii="Calibri" w:hAnsi="Calibri"/>
          <w:color w:val="525866"/>
          <w:sz w:val="22"/>
        </w:rPr>
        <w:t>Luxury consumer resilience supports the thesis that VICI's Strip assets remain in high demand, supporting tenant CapEx investment and long-term lease coverage.</w:t>
      </w:r>
    </w:p>
    <w:p>
      <w:pPr>
        <w:pStyle w:val="ListBullet"/>
        <w:ind w:left="360" w:hanging="360"/>
      </w:pPr>
      <w:r>
        <w:rPr>
          <w:rFonts w:ascii="Calibri" w:hAnsi="Calibri"/>
          <w:b/>
          <w:color w:val="525866"/>
          <w:sz w:val="22"/>
        </w:rPr>
        <w:t xml:space="preserve">Encore Tower remodel beginning (12-month project, 6 floors out of inventory): </w:t>
      </w:r>
      <w:r>
        <w:rPr>
          <w:rFonts w:ascii="Calibri" w:hAnsi="Calibri"/>
          <w:color w:val="525866"/>
          <w:sz w:val="22"/>
        </w:rPr>
        <w:t xml:space="preserve">Wynn investing in room quality to maintain Strip leadership. Tenants across VICI's portfolio (MGM Grand $300M room remodel, Mirage renovation, Hard Rock Guitar Tower) are similarly investing heavily. </w:t>
      </w:r>
      <w:r>
        <w:rPr>
          <w:rFonts w:ascii="Calibri" w:hAnsi="Calibri"/>
          <w:b/>
          <w:color w:val="525866"/>
          <w:sz w:val="22"/>
        </w:rPr>
        <w:t xml:space="preserve">Read-through for VICI: </w:t>
      </w:r>
      <w:r>
        <w:rPr>
          <w:rFonts w:ascii="Calibri" w:hAnsi="Calibri"/>
          <w:color w:val="525866"/>
          <w:sz w:val="22"/>
        </w:rPr>
        <w:t>Continued tenant CapEx investment in VICI-owned assets is a positive signal for long-term asset quality and lease renewal probability.</w:t>
      </w:r>
    </w:p>
    <w:p>
      <w:pPr>
        <w:pStyle w:val="ListBullet"/>
        <w:ind w:left="360" w:hanging="360"/>
      </w:pPr>
      <w:r>
        <w:rPr>
          <w:rFonts w:ascii="Calibri" w:hAnsi="Calibri"/>
          <w:b/>
          <w:color w:val="525866"/>
          <w:sz w:val="22"/>
        </w:rPr>
        <w:t xml:space="preserve">Difficult comps acknowledged; wage and F&amp;B cost pressures: </w:t>
      </w:r>
      <w:r>
        <w:rPr>
          <w:rFonts w:ascii="Calibri" w:hAnsi="Calibri"/>
          <w:color w:val="525866"/>
          <w:sz w:val="22"/>
        </w:rPr>
        <w:t xml:space="preserve">Wynn noted it faces "relatively difficult comps" after an "incredibly strong 2025" (over $900M EBITDA in Vegas). Contractual wage increases and food price volatility creating modest cost pressure. </w:t>
      </w:r>
      <w:r>
        <w:rPr>
          <w:rFonts w:ascii="Calibri" w:hAnsi="Calibri"/>
          <w:b/>
          <w:color w:val="525866"/>
          <w:sz w:val="22"/>
        </w:rPr>
        <w:t xml:space="preserve">Read-through for VICI: </w:t>
      </w:r>
      <w:r>
        <w:rPr>
          <w:rFonts w:ascii="Calibri" w:hAnsi="Calibri"/>
          <w:color w:val="525866"/>
          <w:sz w:val="22"/>
        </w:rPr>
        <w:t>Cost pressures are operator-level and do not affect VICI's triple-net rent receipts, but could modestly compress tenant EBITDA margins and rent coverage ratios.</w:t>
      </w:r>
    </w:p>
    <w:p>
      <w:pPr>
        <w:pStyle w:val="Heading3"/>
      </w:pPr>
      <w:r>
        <w:rPr>
          <w:rFonts w:ascii="Calibri" w:hAnsi="Calibri"/>
          <w:b/>
          <w:color w:val="3B4259"/>
          <w:sz w:val="24"/>
        </w:rPr>
        <w:t>Las Vegas Sands (LVS) — Q2 2026 Earnings Release &amp; Call (July 22, 2026)</w:t>
      </w:r>
    </w:p>
    <w:p>
      <w:r>
        <w:rPr>
          <w:rFonts w:ascii="Calibri" w:hAnsi="Calibri"/>
          <w:b/>
          <w:color w:val="525866"/>
          <w:sz w:val="22"/>
        </w:rPr>
        <w:t xml:space="preserve">Relevance to VICI: </w:t>
      </w:r>
      <w:r>
        <w:rPr>
          <w:rFonts w:ascii="Calibri" w:hAnsi="Calibri"/>
          <w:color w:val="525866"/>
          <w:sz w:val="22"/>
        </w:rPr>
        <w:t>LVS sold its Las Vegas real property and operations and is no longer a Strip operator or VICI tenant. However, LVS's commentary on global gaming demand, luxury consumer trends, and the Venetian Macao (which shares the Venetian brand with VICI's Venetian Resort Las Vegas tenant) provides useful context. LVS received $1.26B from repayment of the seller financing loan related to its Las Vegas sale in May 2026.</w:t>
      </w:r>
    </w:p>
    <w:p>
      <w:pPr>
        <w:pStyle w:val="ListBullet"/>
        <w:ind w:left="360" w:hanging="360"/>
      </w:pPr>
      <w:r>
        <w:rPr>
          <w:rFonts w:ascii="Calibri" w:hAnsi="Calibri"/>
          <w:b/>
          <w:color w:val="525866"/>
          <w:sz w:val="22"/>
        </w:rPr>
        <w:t xml:space="preserve">Q2 2026 results impacted by World Cup and unusually low VIP hold: </w:t>
      </w:r>
      <w:r>
        <w:rPr>
          <w:rFonts w:ascii="Calibri" w:hAnsi="Calibri"/>
          <w:color w:val="525866"/>
          <w:sz w:val="22"/>
        </w:rPr>
        <w:t xml:space="preserve">Consolidated Adjusted Property EBITDA fell to $1.12B from $1.33B in Q2 2025. Macao EBITDA of $430M was "negatively impacted by the exceptionally low VIP rolling hold of 1.35%" — if hold had been as expected, EBITDA would have been $517M. Marina Bay Sands EBITDA of $689M at a 50% margin. </w:t>
      </w:r>
      <w:r>
        <w:rPr>
          <w:rFonts w:ascii="Calibri" w:hAnsi="Calibri"/>
          <w:b/>
          <w:color w:val="525866"/>
          <w:sz w:val="22"/>
        </w:rPr>
        <w:t xml:space="preserve">Read-through for VICI: </w:t>
      </w:r>
      <w:r>
        <w:rPr>
          <w:rFonts w:ascii="Calibri" w:hAnsi="Calibri"/>
          <w:color w:val="525866"/>
          <w:sz w:val="22"/>
        </w:rPr>
        <w:t>LVS's results are not directly relevant to VICI's domestic portfolio, but the World Cup impact on high-value patron visitation in June is a potential read-through for Las Vegas Strip premium gaming volumes in Q2 2026.</w:t>
      </w:r>
    </w:p>
    <w:p>
      <w:pPr>
        <w:pStyle w:val="ListBullet"/>
        <w:ind w:left="360" w:hanging="360"/>
      </w:pPr>
      <w:r>
        <w:rPr>
          <w:rFonts w:ascii="Calibri" w:hAnsi="Calibri"/>
          <w:b/>
          <w:color w:val="525866"/>
          <w:sz w:val="22"/>
        </w:rPr>
        <w:t xml:space="preserve">Underlying Macao volumes strong despite hold headwinds: </w:t>
      </w:r>
      <w:r>
        <w:rPr>
          <w:rFonts w:ascii="Calibri" w:hAnsi="Calibri"/>
          <w:color w:val="525866"/>
          <w:sz w:val="22"/>
        </w:rPr>
        <w:t xml:space="preserve">Rolling volume up 73% YoY; non-rolling drop up 15% YoY; mass GGR grew 8% YoY (2x market growth of 4%). May was "an all-time high for us in terms of monthly mass GGR." World Cup impact concentrated in June. </w:t>
      </w:r>
      <w:r>
        <w:rPr>
          <w:rFonts w:ascii="Calibri" w:hAnsi="Calibri"/>
          <w:b/>
          <w:color w:val="525866"/>
          <w:sz w:val="22"/>
        </w:rPr>
        <w:t xml:space="preserve">Read-through for VICI: </w:t>
      </w:r>
      <w:r>
        <w:rPr>
          <w:rFonts w:ascii="Calibri" w:hAnsi="Calibri"/>
          <w:color w:val="525866"/>
          <w:sz w:val="22"/>
        </w:rPr>
        <w:t>Strong underlying gaming demand globally supports the secular experiential spending thesis that underpins VICI's long-term investment thesis.</w:t>
      </w:r>
    </w:p>
    <w:p>
      <w:pPr>
        <w:pStyle w:val="ListBullet"/>
        <w:ind w:left="360" w:hanging="360"/>
      </w:pPr>
      <w:r>
        <w:rPr>
          <w:rFonts w:ascii="Calibri" w:hAnsi="Calibri"/>
          <w:b/>
          <w:color w:val="525866"/>
          <w:sz w:val="22"/>
        </w:rPr>
        <w:t xml:space="preserve">Operating expense investments expected to level off in H2 2026: </w:t>
      </w:r>
      <w:r>
        <w:rPr>
          <w:rFonts w:ascii="Calibri" w:hAnsi="Calibri"/>
          <w:color w:val="525866"/>
          <w:sz w:val="22"/>
        </w:rPr>
        <w:t xml:space="preserve">LVS expects "a more moderate rate of opex growth" in H2 2026 and into 2027, allowing for "some operating leverage on the EBITDA margin as revenues grow." </w:t>
      </w:r>
      <w:r>
        <w:rPr>
          <w:rFonts w:ascii="Calibri" w:hAnsi="Calibri"/>
          <w:b/>
          <w:color w:val="525866"/>
          <w:sz w:val="22"/>
        </w:rPr>
        <w:t xml:space="preserve">Read-through for VICI: </w:t>
      </w:r>
      <w:r>
        <w:rPr>
          <w:rFonts w:ascii="Calibri" w:hAnsi="Calibri"/>
          <w:color w:val="525866"/>
          <w:sz w:val="22"/>
        </w:rPr>
        <w:t>Operator margin recovery in H2 2026 is a positive signal for gaming REIT tenant health broadly.</w:t>
      </w:r>
    </w:p>
    <w:p>
      <w:pPr>
        <w:pStyle w:val="ListBullet"/>
        <w:ind w:left="360" w:hanging="360"/>
      </w:pPr>
      <w:r>
        <w:rPr>
          <w:rFonts w:ascii="Calibri" w:hAnsi="Calibri"/>
          <w:b/>
          <w:color w:val="525866"/>
          <w:sz w:val="22"/>
        </w:rPr>
        <w:t xml:space="preserve">Venetian Macao renovation underway (all 2,900 rooms by Chinese New Year 2028): </w:t>
      </w:r>
      <w:r>
        <w:rPr>
          <w:rFonts w:ascii="Calibri" w:hAnsi="Calibri"/>
          <w:color w:val="525866"/>
          <w:sz w:val="22"/>
        </w:rPr>
        <w:t xml:space="preserve">~400 keys out of inventory per quarter through 2027. This is the Venetian brand in Macao, not VICI's Venetian Resort Las Vegas, but highlights the brand's global investment commitment. </w:t>
      </w:r>
      <w:r>
        <w:rPr>
          <w:rFonts w:ascii="Calibri" w:hAnsi="Calibri"/>
          <w:b/>
          <w:color w:val="525866"/>
          <w:sz w:val="22"/>
        </w:rPr>
        <w:t xml:space="preserve">Read-through for VICI: </w:t>
      </w:r>
      <w:r>
        <w:rPr>
          <w:rFonts w:ascii="Calibri" w:hAnsi="Calibri"/>
          <w:color w:val="525866"/>
          <w:sz w:val="22"/>
        </w:rPr>
        <w:t>The Venetian Resort Las Vegas (VICI's tenant) has a pending $300M Partner Property Growth Fund commitment from VICI that is "still potentially happening" per Q1 2026 call — Venetian brand investment globally supports the case for this deployment.</w:t>
      </w:r>
    </w:p>
    <w:p>
      <w:pPr>
        <w:pStyle w:val="Heading3"/>
      </w:pPr>
      <w:r>
        <w:rPr>
          <w:rFonts w:ascii="Calibri" w:hAnsi="Calibri"/>
          <w:b/>
          <w:color w:val="3B4259"/>
          <w:sz w:val="24"/>
        </w:rPr>
        <w:t>BetMGM — Q2 2026 Business Update (July 28, 2026)</w:t>
      </w:r>
    </w:p>
    <w:p>
      <w:r>
        <w:rPr>
          <w:rFonts w:ascii="Calibri" w:hAnsi="Calibri"/>
          <w:b/>
          <w:color w:val="525866"/>
          <w:sz w:val="22"/>
        </w:rPr>
        <w:t xml:space="preserve">Relevance to VICI: </w:t>
      </w:r>
      <w:r>
        <w:rPr>
          <w:rFonts w:ascii="Calibri" w:hAnsi="Calibri"/>
          <w:color w:val="525866"/>
          <w:sz w:val="22"/>
        </w:rPr>
        <w:t>MGM Resorts is VICI's second-largest tenant (MGM Grand/Mandalay Bay master lease, MGM master lease). BetMGM's digital gaming performance and its omnichannel strategy centered on MGM's Las Vegas properties are relevant to MGM's overall financial health and its ability to continue investing in VICI-owned assets.</w:t>
      </w:r>
    </w:p>
    <w:p>
      <w:pPr>
        <w:pStyle w:val="ListBullet"/>
        <w:ind w:left="360" w:hanging="360"/>
      </w:pPr>
      <w:r>
        <w:rPr>
          <w:rFonts w:ascii="Calibri" w:hAnsi="Calibri"/>
          <w:b/>
          <w:color w:val="525866"/>
          <w:sz w:val="22"/>
        </w:rPr>
        <w:t xml:space="preserve">BetMGM Q2 2026 net revenue of $711M (+3% YoY); EBITDA of $74M; came in "a little lighter than expected": </w:t>
      </w:r>
      <w:r>
        <w:rPr>
          <w:rFonts w:ascii="Calibri" w:hAnsi="Calibri"/>
          <w:color w:val="525866"/>
          <w:sz w:val="22"/>
        </w:rPr>
        <w:t xml:space="preserve">Full-year 2026 guidance maintained at $2.9B–$3.1B revenue and $300M–$350M EBITDA, but now expected to land "towards the lower end of these ranges." iGaming (70% of revenue) grew 8% YoY; online sports flat YoY. </w:t>
      </w:r>
      <w:r>
        <w:rPr>
          <w:rFonts w:ascii="Calibri" w:hAnsi="Calibri"/>
          <w:b/>
          <w:color w:val="525866"/>
          <w:sz w:val="22"/>
        </w:rPr>
        <w:t xml:space="preserve">Read-through for VICI: </w:t>
      </w:r>
      <w:r>
        <w:rPr>
          <w:rFonts w:ascii="Calibri" w:hAnsi="Calibri"/>
          <w:color w:val="525866"/>
          <w:sz w:val="22"/>
        </w:rPr>
        <w:t>BetMGM's digital business is separate from MGM's physical casino operations (which pay VICI rent), but a weaker digital outlook could modestly pressure MGM's overall financial flexibility.</w:t>
      </w:r>
    </w:p>
    <w:p>
      <w:pPr>
        <w:pStyle w:val="ListBullet"/>
        <w:ind w:left="360" w:hanging="360"/>
      </w:pPr>
      <w:r>
        <w:rPr>
          <w:rFonts w:ascii="Calibri" w:hAnsi="Calibri"/>
          <w:b/>
          <w:color w:val="525866"/>
          <w:sz w:val="22"/>
        </w:rPr>
        <w:t xml:space="preserve">Nevada / Las Vegas Strip remains "central to MGM strategy": </w:t>
      </w:r>
      <w:r>
        <w:rPr>
          <w:rFonts w:ascii="Calibri" w:hAnsi="Calibri"/>
          <w:color w:val="525866"/>
          <w:sz w:val="22"/>
        </w:rPr>
        <w:t xml:space="preserve">MGM properties recruit "thousands of players weekly" for BetMGM digital sign-ups. OSB handle in Nevada up 10% YoY in H1 2026. MGM is making a "concerted effort into the locals market" as an "untapped opportunity." </w:t>
      </w:r>
      <w:r>
        <w:rPr>
          <w:rFonts w:ascii="Calibri" w:hAnsi="Calibri"/>
          <w:b/>
          <w:color w:val="525866"/>
          <w:sz w:val="22"/>
        </w:rPr>
        <w:t xml:space="preserve">Read-through for VICI: </w:t>
      </w:r>
      <w:r>
        <w:rPr>
          <w:rFonts w:ascii="Calibri" w:hAnsi="Calibri"/>
          <w:color w:val="525866"/>
          <w:sz w:val="22"/>
        </w:rPr>
        <w:t>MGM's continued strategic emphasis on its Las Vegas physical footprint (which VICI owns) is a positive signal for long-term lease commitment and tenant CapEx investment in VICI-owned assets.</w:t>
      </w:r>
    </w:p>
    <w:p>
      <w:pPr>
        <w:pStyle w:val="ListBullet"/>
        <w:ind w:left="360" w:hanging="360"/>
      </w:pPr>
      <w:r>
        <w:rPr>
          <w:rFonts w:ascii="Calibri" w:hAnsi="Calibri"/>
          <w:b/>
          <w:color w:val="525866"/>
          <w:sz w:val="22"/>
        </w:rPr>
        <w:t xml:space="preserve">Heightened competition from prediction market operators; iGaming CPAs up ~15% YoY: </w:t>
      </w:r>
      <w:r>
        <w:rPr>
          <w:rFonts w:ascii="Calibri" w:hAnsi="Calibri"/>
          <w:color w:val="525866"/>
          <w:sz w:val="22"/>
        </w:rPr>
        <w:t xml:space="preserve">Market environment "continued to intensify" with competition from both regulated and unregulated operators. Monthly active player counts down 3% in Q2 and 6% in H1 (sports-driven). Consumer discretionary income pressure noted (high gas prices). </w:t>
      </w:r>
      <w:r>
        <w:rPr>
          <w:rFonts w:ascii="Calibri" w:hAnsi="Calibri"/>
          <w:b/>
          <w:color w:val="525866"/>
          <w:sz w:val="22"/>
        </w:rPr>
        <w:t xml:space="preserve">Read-through for VICI: </w:t>
      </w:r>
      <w:r>
        <w:rPr>
          <w:rFonts w:ascii="Calibri" w:hAnsi="Calibri"/>
          <w:color w:val="525866"/>
          <w:sz w:val="22"/>
        </w:rPr>
        <w:t>Digital headwinds are operator-level and do not affect VICI's rent receipts, but sustained digital pressure could modestly reduce MGM's overall EBITDA and rent coverage over time.</w:t>
      </w:r>
    </w:p>
    <w:p>
      <w:pPr>
        <w:pStyle w:val="ListBullet"/>
        <w:ind w:left="360" w:hanging="360"/>
      </w:pPr>
      <w:r>
        <w:rPr>
          <w:rFonts w:ascii="Calibri" w:hAnsi="Calibri"/>
          <w:b/>
          <w:color w:val="525866"/>
          <w:sz w:val="22"/>
        </w:rPr>
        <w:t xml:space="preserve">World Cup drove 3x the handle vs. 2022; OSB CPAs "reduced dramatically": </w:t>
      </w:r>
      <w:r>
        <w:rPr>
          <w:rFonts w:ascii="Calibri" w:hAnsi="Calibri"/>
          <w:color w:val="525866"/>
          <w:sz w:val="22"/>
        </w:rPr>
        <w:t xml:space="preserve">The 2026 World Cup (held in the U.S.) was a significant positive for sports betting engagement. BetMGM saw 3x the handle on the USA-Belgium game vs. any baseball/basketball playoff or World Series game. </w:t>
      </w:r>
      <w:r>
        <w:rPr>
          <w:rFonts w:ascii="Calibri" w:hAnsi="Calibri"/>
          <w:b/>
          <w:color w:val="525866"/>
          <w:sz w:val="22"/>
        </w:rPr>
        <w:t xml:space="preserve">Read-through for VICI: </w:t>
      </w:r>
      <w:r>
        <w:rPr>
          <w:rFonts w:ascii="Calibri" w:hAnsi="Calibri"/>
          <w:color w:val="525866"/>
          <w:sz w:val="22"/>
        </w:rPr>
        <w:t>Major sporting events in the U.S. (including the World Cup, NBA Las Vegas franchise pursuit, A's Stadium construction) support the secular demand thesis for Las Vegas as an entertainment destination — directly relevant to VICI's Strip asset quality.</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Data Point</w:t>
            </w:r>
          </w:p>
        </w:tc>
        <w:tc>
          <w:tcPr>
            <w:tcW w:type="dxa" w:w="1728"/>
            <w:shd w:val="clear" w:color="auto" w:fill="3B4259"/>
          </w:tcPr>
          <w:p>
            <w:r>
              <w:rPr>
                <w:rFonts w:ascii="Calibri" w:hAnsi="Calibri"/>
                <w:b/>
                <w:color w:val="FFFFFF"/>
                <w:sz w:val="22"/>
              </w:rPr>
              <w:t>Read-Through for VICI</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CZR</w:t>
            </w:r>
          </w:p>
        </w:tc>
        <w:tc>
          <w:tcPr>
            <w:tcW w:type="dxa" w:w="1728"/>
          </w:tcPr>
          <w:p>
            <w:r>
              <w:rPr>
                <w:rFonts w:ascii="Calibri" w:hAnsi="Calibri"/>
                <w:sz w:val="22"/>
              </w:rPr>
              <w:t>Jul 28, 2026</w:t>
            </w:r>
          </w:p>
        </w:tc>
        <w:tc>
          <w:tcPr>
            <w:tcW w:type="dxa" w:w="1728"/>
          </w:tcPr>
          <w:p>
            <w:r>
              <w:rPr>
                <w:rFonts w:ascii="Calibri" w:hAnsi="Calibri"/>
                <w:sz w:val="22"/>
              </w:rPr>
              <w:t>Las Vegas EBITDA –12.6% YoY to $410M</w:t>
            </w:r>
          </w:p>
        </w:tc>
        <w:tc>
          <w:tcPr>
            <w:tcW w:type="dxa" w:w="1728"/>
          </w:tcPr>
          <w:p>
            <w:r>
              <w:rPr>
                <w:rFonts w:ascii="Calibri" w:hAnsi="Calibri"/>
                <w:sz w:val="22"/>
              </w:rPr>
              <w:t>Negative optics for largest tenant; but triple-net lease insulates VICI</w:t>
            </w:r>
          </w:p>
        </w:tc>
        <w:tc>
          <w:tcPr>
            <w:tcW w:type="dxa" w:w="1728"/>
          </w:tcPr>
          <w:p>
            <w:r>
              <w:rPr>
                <w:rFonts w:ascii="Calibri" w:hAnsi="Calibri"/>
                <w:b/>
                <w:color w:val="002FA7"/>
                <w:sz w:val="22"/>
              </w:rPr>
              <w:t>Mixed</w:t>
            </w:r>
          </w:p>
        </w:tc>
      </w:tr>
      <w:tr>
        <w:tc>
          <w:tcPr>
            <w:tcW w:type="dxa" w:w="1728"/>
          </w:tcPr>
          <w:p>
            <w:r>
              <w:rPr>
                <w:rFonts w:ascii="Calibri" w:hAnsi="Calibri"/>
                <w:sz w:val="22"/>
              </w:rPr>
              <w:t>CZR</w:t>
            </w:r>
          </w:p>
        </w:tc>
        <w:tc>
          <w:tcPr>
            <w:tcW w:type="dxa" w:w="1728"/>
          </w:tcPr>
          <w:p>
            <w:r>
              <w:rPr>
                <w:rFonts w:ascii="Calibri" w:hAnsi="Calibri"/>
                <w:sz w:val="22"/>
              </w:rPr>
              <w:t>Jul 28, 2026</w:t>
            </w:r>
          </w:p>
        </w:tc>
        <w:tc>
          <w:tcPr>
            <w:tcW w:type="dxa" w:w="1728"/>
          </w:tcPr>
          <w:p>
            <w:r>
              <w:rPr>
                <w:rFonts w:ascii="Calibri" w:hAnsi="Calibri"/>
                <w:sz w:val="22"/>
              </w:rPr>
              <w:t>Regional EBITDA +11.2% YoY to $488M</w:t>
            </w:r>
          </w:p>
        </w:tc>
        <w:tc>
          <w:tcPr>
            <w:tcW w:type="dxa" w:w="1728"/>
          </w:tcPr>
          <w:p>
            <w:r>
              <w:rPr>
                <w:rFonts w:ascii="Calibri" w:hAnsi="Calibri"/>
                <w:sz w:val="22"/>
              </w:rPr>
              <w:t>Positive for Caesars Regional master lease coverage (VICI's largest rent stream)</w:t>
            </w:r>
          </w:p>
        </w:tc>
        <w:tc>
          <w:tcPr>
            <w:tcW w:type="dxa" w:w="1728"/>
          </w:tcPr>
          <w:p>
            <w:r>
              <w:rPr>
                <w:rFonts w:ascii="Calibri" w:hAnsi="Calibri"/>
                <w:b/>
                <w:color w:val="30A46C"/>
                <w:sz w:val="22"/>
              </w:rPr>
              <w:t>Positive</w:t>
            </w:r>
          </w:p>
        </w:tc>
      </w:tr>
      <w:tr>
        <w:tc>
          <w:tcPr>
            <w:tcW w:type="dxa" w:w="1728"/>
          </w:tcPr>
          <w:p>
            <w:r>
              <w:rPr>
                <w:rFonts w:ascii="Calibri" w:hAnsi="Calibri"/>
                <w:sz w:val="22"/>
              </w:rPr>
              <w:t>CZR</w:t>
            </w:r>
          </w:p>
        </w:tc>
        <w:tc>
          <w:tcPr>
            <w:tcW w:type="dxa" w:w="1728"/>
          </w:tcPr>
          <w:p>
            <w:r>
              <w:rPr>
                <w:rFonts w:ascii="Calibri" w:hAnsi="Calibri"/>
                <w:sz w:val="22"/>
              </w:rPr>
              <w:t>Jul 28, 2026</w:t>
            </w:r>
          </w:p>
        </w:tc>
        <w:tc>
          <w:tcPr>
            <w:tcW w:type="dxa" w:w="1728"/>
          </w:tcPr>
          <w:p>
            <w:r>
              <w:rPr>
                <w:rFonts w:ascii="Calibri" w:hAnsi="Calibri"/>
                <w:sz w:val="22"/>
              </w:rPr>
              <w:t>No Q2 earnings call (Fertitta deal pending)</w:t>
            </w:r>
          </w:p>
        </w:tc>
        <w:tc>
          <w:tcPr>
            <w:tcW w:type="dxa" w:w="1728"/>
          </w:tcPr>
          <w:p>
            <w:r>
              <w:rPr>
                <w:rFonts w:ascii="Calibri" w:hAnsi="Calibri"/>
                <w:sz w:val="22"/>
              </w:rPr>
              <w:t>Eliminates Caesars management commentary; increases uncertainty on privatization impact</w:t>
            </w:r>
          </w:p>
        </w:tc>
        <w:tc>
          <w:tcPr>
            <w:tcW w:type="dxa" w:w="1728"/>
          </w:tcPr>
          <w:p>
            <w:r>
              <w:rPr>
                <w:rFonts w:ascii="Calibri" w:hAnsi="Calibri"/>
                <w:b/>
                <w:color w:val="E5484D"/>
                <w:sz w:val="22"/>
              </w:rPr>
              <w:t>Negative</w:t>
            </w:r>
          </w:p>
        </w:tc>
      </w:tr>
      <w:tr>
        <w:tc>
          <w:tcPr>
            <w:tcW w:type="dxa" w:w="1728"/>
          </w:tcPr>
          <w:p>
            <w:r>
              <w:rPr>
                <w:rFonts w:ascii="Calibri" w:hAnsi="Calibri"/>
                <w:sz w:val="22"/>
              </w:rPr>
              <w:t>WYNN</w:t>
            </w:r>
          </w:p>
        </w:tc>
        <w:tc>
          <w:tcPr>
            <w:tcW w:type="dxa" w:w="1728"/>
          </w:tcPr>
          <w:p>
            <w:r>
              <w:rPr>
                <w:rFonts w:ascii="Calibri" w:hAnsi="Calibri"/>
                <w:sz w:val="22"/>
              </w:rPr>
              <w:t>May 7, 2026</w:t>
            </w:r>
          </w:p>
        </w:tc>
        <w:tc>
          <w:tcPr>
            <w:tcW w:type="dxa" w:w="1728"/>
          </w:tcPr>
          <w:p>
            <w:r>
              <w:rPr>
                <w:rFonts w:ascii="Calibri" w:hAnsi="Calibri"/>
                <w:sz w:val="22"/>
              </w:rPr>
              <w:t>LV hold-adj. EBITDAR +5% YoY; best-ever March; Q2 drop/handle up YoY</w:t>
            </w:r>
          </w:p>
        </w:tc>
        <w:tc>
          <w:tcPr>
            <w:tcW w:type="dxa" w:w="1728"/>
          </w:tcPr>
          <w:p>
            <w:r>
              <w:rPr>
                <w:rFonts w:ascii="Calibri" w:hAnsi="Calibri"/>
                <w:sz w:val="22"/>
              </w:rPr>
              <w:t>Strong luxury Strip demand in Q1 and into Q2; positive for VICI Strip tenant health</w:t>
            </w:r>
          </w:p>
        </w:tc>
        <w:tc>
          <w:tcPr>
            <w:tcW w:type="dxa" w:w="1728"/>
          </w:tcPr>
          <w:p>
            <w:r>
              <w:rPr>
                <w:rFonts w:ascii="Calibri" w:hAnsi="Calibri"/>
                <w:b/>
                <w:color w:val="30A46C"/>
                <w:sz w:val="22"/>
              </w:rPr>
              <w:t>Positive</w:t>
            </w:r>
          </w:p>
        </w:tc>
      </w:tr>
      <w:tr>
        <w:tc>
          <w:tcPr>
            <w:tcW w:type="dxa" w:w="1728"/>
          </w:tcPr>
          <w:p>
            <w:r>
              <w:rPr>
                <w:rFonts w:ascii="Calibri" w:hAnsi="Calibri"/>
                <w:sz w:val="22"/>
              </w:rPr>
              <w:t>WYNN</w:t>
            </w:r>
          </w:p>
        </w:tc>
        <w:tc>
          <w:tcPr>
            <w:tcW w:type="dxa" w:w="1728"/>
          </w:tcPr>
          <w:p>
            <w:r>
              <w:rPr>
                <w:rFonts w:ascii="Calibri" w:hAnsi="Calibri"/>
                <w:sz w:val="22"/>
              </w:rPr>
              <w:t>May 7, 2026</w:t>
            </w:r>
          </w:p>
        </w:tc>
        <w:tc>
          <w:tcPr>
            <w:tcW w:type="dxa" w:w="1728"/>
          </w:tcPr>
          <w:p>
            <w:r>
              <w:rPr>
                <w:rFonts w:ascii="Calibri" w:hAnsi="Calibri"/>
                <w:sz w:val="22"/>
              </w:rPr>
              <w:t>Encore Tower remodel; tenant CapEx investment continuing</w:t>
            </w:r>
          </w:p>
        </w:tc>
        <w:tc>
          <w:tcPr>
            <w:tcW w:type="dxa" w:w="1728"/>
          </w:tcPr>
          <w:p>
            <w:r>
              <w:rPr>
                <w:rFonts w:ascii="Calibri" w:hAnsi="Calibri"/>
                <w:sz w:val="22"/>
              </w:rPr>
              <w:t>Confirms Strip operators investing in assets; supports VICI asset quality thesis</w:t>
            </w:r>
          </w:p>
        </w:tc>
        <w:tc>
          <w:tcPr>
            <w:tcW w:type="dxa" w:w="1728"/>
          </w:tcPr>
          <w:p>
            <w:r>
              <w:rPr>
                <w:rFonts w:ascii="Calibri" w:hAnsi="Calibri"/>
                <w:b/>
                <w:color w:val="30A46C"/>
                <w:sz w:val="22"/>
              </w:rPr>
              <w:t>Positive</w:t>
            </w:r>
          </w:p>
        </w:tc>
      </w:tr>
      <w:tr>
        <w:tc>
          <w:tcPr>
            <w:tcW w:type="dxa" w:w="1728"/>
          </w:tcPr>
          <w:p>
            <w:r>
              <w:rPr>
                <w:rFonts w:ascii="Calibri" w:hAnsi="Calibri"/>
                <w:sz w:val="22"/>
              </w:rPr>
              <w:t>LVS</w:t>
            </w:r>
          </w:p>
        </w:tc>
        <w:tc>
          <w:tcPr>
            <w:tcW w:type="dxa" w:w="1728"/>
          </w:tcPr>
          <w:p>
            <w:r>
              <w:rPr>
                <w:rFonts w:ascii="Calibri" w:hAnsi="Calibri"/>
                <w:sz w:val="22"/>
              </w:rPr>
              <w:t>Jul 22, 2026</w:t>
            </w:r>
          </w:p>
        </w:tc>
        <w:tc>
          <w:tcPr>
            <w:tcW w:type="dxa" w:w="1728"/>
          </w:tcPr>
          <w:p>
            <w:r>
              <w:rPr>
                <w:rFonts w:ascii="Calibri" w:hAnsi="Calibri"/>
                <w:sz w:val="22"/>
              </w:rPr>
              <w:t>World Cup impacted high-value patron visitation in June; underlying volumes strong</w:t>
            </w:r>
          </w:p>
        </w:tc>
        <w:tc>
          <w:tcPr>
            <w:tcW w:type="dxa" w:w="1728"/>
          </w:tcPr>
          <w:p>
            <w:r>
              <w:rPr>
                <w:rFonts w:ascii="Calibri" w:hAnsi="Calibri"/>
                <w:sz w:val="22"/>
              </w:rPr>
              <w:t>World Cup may have modestly impacted Las Vegas Strip premium gaming in June Q2</w:t>
            </w:r>
          </w:p>
        </w:tc>
        <w:tc>
          <w:tcPr>
            <w:tcW w:type="dxa" w:w="1728"/>
          </w:tcPr>
          <w:p>
            <w:r>
              <w:rPr>
                <w:rFonts w:ascii="Calibri" w:hAnsi="Calibri"/>
                <w:b/>
                <w:color w:val="002FA7"/>
                <w:sz w:val="22"/>
              </w:rPr>
              <w:t>Mild Negative</w:t>
            </w:r>
          </w:p>
        </w:tc>
      </w:tr>
      <w:tr>
        <w:tc>
          <w:tcPr>
            <w:tcW w:type="dxa" w:w="1728"/>
          </w:tcPr>
          <w:p>
            <w:r>
              <w:rPr>
                <w:rFonts w:ascii="Calibri" w:hAnsi="Calibri"/>
                <w:sz w:val="22"/>
              </w:rPr>
              <w:t>LVS</w:t>
            </w:r>
          </w:p>
        </w:tc>
        <w:tc>
          <w:tcPr>
            <w:tcW w:type="dxa" w:w="1728"/>
          </w:tcPr>
          <w:p>
            <w:r>
              <w:rPr>
                <w:rFonts w:ascii="Calibri" w:hAnsi="Calibri"/>
                <w:sz w:val="22"/>
              </w:rPr>
              <w:t>Jul 22, 2026</w:t>
            </w:r>
          </w:p>
        </w:tc>
        <w:tc>
          <w:tcPr>
            <w:tcW w:type="dxa" w:w="1728"/>
          </w:tcPr>
          <w:p>
            <w:r>
              <w:rPr>
                <w:rFonts w:ascii="Calibri" w:hAnsi="Calibri"/>
                <w:sz w:val="22"/>
              </w:rPr>
              <w:t>Opex growth to moderate in H2 2026; EBITDA margin recovery expected</w:t>
            </w:r>
          </w:p>
        </w:tc>
        <w:tc>
          <w:tcPr>
            <w:tcW w:type="dxa" w:w="1728"/>
          </w:tcPr>
          <w:p>
            <w:r>
              <w:rPr>
                <w:rFonts w:ascii="Calibri" w:hAnsi="Calibri"/>
                <w:sz w:val="22"/>
              </w:rPr>
              <w:t>Operator margin recovery in H2 supports gaming REIT tenant health broadly</w:t>
            </w:r>
          </w:p>
        </w:tc>
        <w:tc>
          <w:tcPr>
            <w:tcW w:type="dxa" w:w="1728"/>
          </w:tcPr>
          <w:p>
            <w:r>
              <w:rPr>
                <w:rFonts w:ascii="Calibri" w:hAnsi="Calibri"/>
                <w:b/>
                <w:color w:val="30A46C"/>
                <w:sz w:val="22"/>
              </w:rPr>
              <w:t>Positive</w:t>
            </w:r>
          </w:p>
        </w:tc>
      </w:tr>
      <w:tr>
        <w:tc>
          <w:tcPr>
            <w:tcW w:type="dxa" w:w="1728"/>
          </w:tcPr>
          <w:p>
            <w:r>
              <w:rPr>
                <w:rFonts w:ascii="Calibri" w:hAnsi="Calibri"/>
                <w:sz w:val="22"/>
              </w:rPr>
              <w:t>BetMGM / MGM</w:t>
            </w:r>
          </w:p>
        </w:tc>
        <w:tc>
          <w:tcPr>
            <w:tcW w:type="dxa" w:w="1728"/>
          </w:tcPr>
          <w:p>
            <w:r>
              <w:rPr>
                <w:rFonts w:ascii="Calibri" w:hAnsi="Calibri"/>
                <w:sz w:val="22"/>
              </w:rPr>
              <w:t>Jul 28, 2026</w:t>
            </w:r>
          </w:p>
        </w:tc>
        <w:tc>
          <w:tcPr>
            <w:tcW w:type="dxa" w:w="1728"/>
          </w:tcPr>
          <w:p>
            <w:r>
              <w:rPr>
                <w:rFonts w:ascii="Calibri" w:hAnsi="Calibri"/>
                <w:sz w:val="22"/>
              </w:rPr>
              <w:t>Nevada "central to MGM strategy"; OSB handle +10% YoY in Nevada H1</w:t>
            </w:r>
          </w:p>
        </w:tc>
        <w:tc>
          <w:tcPr>
            <w:tcW w:type="dxa" w:w="1728"/>
          </w:tcPr>
          <w:p>
            <w:r>
              <w:rPr>
                <w:rFonts w:ascii="Calibri" w:hAnsi="Calibri"/>
                <w:sz w:val="22"/>
              </w:rPr>
              <w:t>MGM's continued Las Vegas commitment supports long-term lease and CapEx investment in VICI assets</w:t>
            </w:r>
          </w:p>
        </w:tc>
        <w:tc>
          <w:tcPr>
            <w:tcW w:type="dxa" w:w="1728"/>
          </w:tcPr>
          <w:p>
            <w:r>
              <w:rPr>
                <w:rFonts w:ascii="Calibri" w:hAnsi="Calibri"/>
                <w:b/>
                <w:color w:val="30A46C"/>
                <w:sz w:val="22"/>
              </w:rPr>
              <w:t>Positive</w:t>
            </w:r>
          </w:p>
        </w:tc>
      </w:tr>
      <w:tr>
        <w:tc>
          <w:tcPr>
            <w:tcW w:type="dxa" w:w="1728"/>
          </w:tcPr>
          <w:p>
            <w:r>
              <w:rPr>
                <w:rFonts w:ascii="Calibri" w:hAnsi="Calibri"/>
                <w:sz w:val="22"/>
              </w:rPr>
              <w:t>BetMGM / MGM</w:t>
            </w:r>
          </w:p>
        </w:tc>
        <w:tc>
          <w:tcPr>
            <w:tcW w:type="dxa" w:w="1728"/>
          </w:tcPr>
          <w:p>
            <w:r>
              <w:rPr>
                <w:rFonts w:ascii="Calibri" w:hAnsi="Calibri"/>
                <w:sz w:val="22"/>
              </w:rPr>
              <w:t>Jul 28, 2026</w:t>
            </w:r>
          </w:p>
        </w:tc>
        <w:tc>
          <w:tcPr>
            <w:tcW w:type="dxa" w:w="1728"/>
          </w:tcPr>
          <w:p>
            <w:r>
              <w:rPr>
                <w:rFonts w:ascii="Calibri" w:hAnsi="Calibri"/>
                <w:sz w:val="22"/>
              </w:rPr>
              <w:t>Full-year guidance towards lower end; digital competition intensifying</w:t>
            </w:r>
          </w:p>
        </w:tc>
        <w:tc>
          <w:tcPr>
            <w:tcW w:type="dxa" w:w="1728"/>
          </w:tcPr>
          <w:p>
            <w:r>
              <w:rPr>
                <w:rFonts w:ascii="Calibri" w:hAnsi="Calibri"/>
                <w:sz w:val="22"/>
              </w:rPr>
              <w:t>Modest pressure on MGM overall EBITDA; not a direct VICI rent risk but worth monitoring</w:t>
            </w:r>
          </w:p>
        </w:tc>
        <w:tc>
          <w:tcPr>
            <w:tcW w:type="dxa" w:w="1728"/>
          </w:tcPr>
          <w:p>
            <w:r>
              <w:rPr>
                <w:rFonts w:ascii="Calibri" w:hAnsi="Calibri"/>
                <w:b/>
                <w:color w:val="002FA7"/>
                <w:sz w:val="22"/>
              </w:rPr>
              <w:t>Mild Negative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were identified in the post-Q1 window. The only Form 4 activity consists of routine director stock awards (code A) on July 1, 2026, and a gift transaction by CEO Pitoniak on June 1, 2026. </w:t>
      </w:r>
      <w:r>
        <w:rPr>
          <w:rFonts w:ascii="Calibri" w:hAnsi="Calibri"/>
          <w:b/>
          <w:color w:val="525866"/>
          <w:sz w:val="22"/>
        </w:rPr>
        <w:t>The absence of open-market buying or selling by insiders is neutral</w:t>
      </w:r>
      <w:r>
        <w:rPr>
          <w:rFonts w:ascii="Calibri" w:hAnsi="Calibri"/>
          <w:color w:val="525866"/>
          <w:sz w:val="22"/>
        </w:rPr>
        <w:t xml:space="preserve"> — no insider is signaling either conviction or concern through discretionary market transactions.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Abrahamson, James R.</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933 shares</w:t>
            </w:r>
          </w:p>
        </w:tc>
        <w:tc>
          <w:tcPr>
            <w:tcW w:type="dxa" w:w="1440"/>
          </w:tcPr>
          <w:p>
            <w:r>
              <w:rPr>
                <w:rFonts w:ascii="Calibri" w:hAnsi="Calibri"/>
                <w:sz w:val="22"/>
              </w:rPr>
              <w:t>Jul 1, 2026</w:t>
            </w:r>
          </w:p>
        </w:tc>
        <w:tc>
          <w:tcPr>
            <w:tcW w:type="dxa" w:w="1440"/>
          </w:tcPr>
          <w:p>
            <w:r>
              <w:rPr>
                <w:rFonts w:ascii="Calibri" w:hAnsi="Calibri"/>
                <w:sz w:val="22"/>
              </w:rPr>
              <w:t>Routine annual director equity compensation award; not a discretionary open-market transaction</w:t>
            </w:r>
          </w:p>
        </w:tc>
      </w:tr>
      <w:tr>
        <w:tc>
          <w:tcPr>
            <w:tcW w:type="dxa" w:w="1440"/>
          </w:tcPr>
          <w:p>
            <w:r>
              <w:rPr>
                <w:rFonts w:ascii="Calibri" w:hAnsi="Calibri"/>
                <w:sz w:val="22"/>
              </w:rPr>
              <w:t>Cantor, Diana F.</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490 shares</w:t>
            </w:r>
          </w:p>
        </w:tc>
        <w:tc>
          <w:tcPr>
            <w:tcW w:type="dxa" w:w="1440"/>
          </w:tcPr>
          <w:p>
            <w:r>
              <w:rPr>
                <w:rFonts w:ascii="Calibri" w:hAnsi="Calibri"/>
                <w:sz w:val="22"/>
              </w:rPr>
              <w:t>Jul 1, 2026</w:t>
            </w:r>
          </w:p>
        </w:tc>
        <w:tc>
          <w:tcPr>
            <w:tcW w:type="dxa" w:w="1440"/>
          </w:tcPr>
          <w:p>
            <w:r>
              <w:rPr>
                <w:rFonts w:ascii="Calibri" w:hAnsi="Calibri"/>
                <w:sz w:val="22"/>
              </w:rPr>
              <w:t>Routine annual director equity compensation award; not a discretionary open-market transaction</w:t>
            </w:r>
          </w:p>
        </w:tc>
      </w:tr>
      <w:tr>
        <w:tc>
          <w:tcPr>
            <w:tcW w:type="dxa" w:w="1440"/>
          </w:tcPr>
          <w:p>
            <w:r>
              <w:rPr>
                <w:rFonts w:ascii="Calibri" w:hAnsi="Calibri"/>
                <w:sz w:val="22"/>
              </w:rPr>
              <w:t>Douglas, Monica Howard</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154 shares</w:t>
            </w:r>
          </w:p>
        </w:tc>
        <w:tc>
          <w:tcPr>
            <w:tcW w:type="dxa" w:w="1440"/>
          </w:tcPr>
          <w:p>
            <w:r>
              <w:rPr>
                <w:rFonts w:ascii="Calibri" w:hAnsi="Calibri"/>
                <w:sz w:val="22"/>
              </w:rPr>
              <w:t>Jul 1, 2026</w:t>
            </w:r>
          </w:p>
        </w:tc>
        <w:tc>
          <w:tcPr>
            <w:tcW w:type="dxa" w:w="1440"/>
          </w:tcPr>
          <w:p>
            <w:r>
              <w:rPr>
                <w:rFonts w:ascii="Calibri" w:hAnsi="Calibri"/>
                <w:sz w:val="22"/>
              </w:rPr>
              <w:t>Routine annual director equity compensation award; not a discretionary open-market transaction</w:t>
            </w:r>
          </w:p>
        </w:tc>
      </w:tr>
      <w:tr>
        <w:tc>
          <w:tcPr>
            <w:tcW w:type="dxa" w:w="1440"/>
          </w:tcPr>
          <w:p>
            <w:r>
              <w:rPr>
                <w:rFonts w:ascii="Calibri" w:hAnsi="Calibri"/>
                <w:sz w:val="22"/>
              </w:rPr>
              <w:t>Holland, Elizabeth I.</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252 shares</w:t>
            </w:r>
          </w:p>
        </w:tc>
        <w:tc>
          <w:tcPr>
            <w:tcW w:type="dxa" w:w="1440"/>
          </w:tcPr>
          <w:p>
            <w:r>
              <w:rPr>
                <w:rFonts w:ascii="Calibri" w:hAnsi="Calibri"/>
                <w:sz w:val="22"/>
              </w:rPr>
              <w:t>Jul 1, 2026</w:t>
            </w:r>
          </w:p>
        </w:tc>
        <w:tc>
          <w:tcPr>
            <w:tcW w:type="dxa" w:w="1440"/>
          </w:tcPr>
          <w:p>
            <w:r>
              <w:rPr>
                <w:rFonts w:ascii="Calibri" w:hAnsi="Calibri"/>
                <w:sz w:val="22"/>
              </w:rPr>
              <w:t>Routine annual director equity compensation award; not a discretionary open-market transaction</w:t>
            </w:r>
          </w:p>
        </w:tc>
      </w:tr>
      <w:tr>
        <w:tc>
          <w:tcPr>
            <w:tcW w:type="dxa" w:w="1440"/>
          </w:tcPr>
          <w:p>
            <w:r>
              <w:rPr>
                <w:rFonts w:ascii="Calibri" w:hAnsi="Calibri"/>
                <w:sz w:val="22"/>
              </w:rPr>
              <w:t>MacNab, Craig</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500 shares</w:t>
            </w:r>
          </w:p>
        </w:tc>
        <w:tc>
          <w:tcPr>
            <w:tcW w:type="dxa" w:w="1440"/>
          </w:tcPr>
          <w:p>
            <w:r>
              <w:rPr>
                <w:rFonts w:ascii="Calibri" w:hAnsi="Calibri"/>
                <w:sz w:val="22"/>
              </w:rPr>
              <w:t>Jul 1, 2026</w:t>
            </w:r>
          </w:p>
        </w:tc>
        <w:tc>
          <w:tcPr>
            <w:tcW w:type="dxa" w:w="1440"/>
          </w:tcPr>
          <w:p>
            <w:r>
              <w:rPr>
                <w:rFonts w:ascii="Calibri" w:hAnsi="Calibri"/>
                <w:sz w:val="22"/>
              </w:rPr>
              <w:t>Routine annual director equity compensation award; not a discretionary open-market transaction</w:t>
            </w:r>
          </w:p>
        </w:tc>
      </w:tr>
      <w:tr>
        <w:tc>
          <w:tcPr>
            <w:tcW w:type="dxa" w:w="1440"/>
          </w:tcPr>
          <w:p>
            <w:r>
              <w:rPr>
                <w:rFonts w:ascii="Calibri" w:hAnsi="Calibri"/>
                <w:sz w:val="22"/>
              </w:rPr>
              <w:t>Rumbolz, Michael D.</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327 shares</w:t>
            </w:r>
          </w:p>
        </w:tc>
        <w:tc>
          <w:tcPr>
            <w:tcW w:type="dxa" w:w="1440"/>
          </w:tcPr>
          <w:p>
            <w:r>
              <w:rPr>
                <w:rFonts w:ascii="Calibri" w:hAnsi="Calibri"/>
                <w:sz w:val="22"/>
              </w:rPr>
              <w:t>Jul 1, 2026</w:t>
            </w:r>
          </w:p>
        </w:tc>
        <w:tc>
          <w:tcPr>
            <w:tcW w:type="dxa" w:w="1440"/>
          </w:tcPr>
          <w:p>
            <w:r>
              <w:rPr>
                <w:rFonts w:ascii="Calibri" w:hAnsi="Calibri"/>
                <w:sz w:val="22"/>
              </w:rPr>
              <w:t>Routine annual director equity compensation award; not a discretionary open-market transaction</w:t>
            </w:r>
          </w:p>
        </w:tc>
      </w:tr>
      <w:tr>
        <w:tc>
          <w:tcPr>
            <w:tcW w:type="dxa" w:w="1440"/>
          </w:tcPr>
          <w:p>
            <w:r>
              <w:rPr>
                <w:rFonts w:ascii="Calibri" w:hAnsi="Calibri"/>
                <w:sz w:val="22"/>
              </w:rPr>
              <w:t>Pitoniak, Edward Baltazar</w:t>
            </w:r>
          </w:p>
        </w:tc>
        <w:tc>
          <w:tcPr>
            <w:tcW w:type="dxa" w:w="1440"/>
          </w:tcPr>
          <w:p>
            <w:r>
              <w:rPr>
                <w:rFonts w:ascii="Calibri" w:hAnsi="Calibri"/>
                <w:sz w:val="22"/>
              </w:rPr>
              <w:t>Chief Executive Officer, Director</w:t>
            </w:r>
          </w:p>
        </w:tc>
        <w:tc>
          <w:tcPr>
            <w:tcW w:type="dxa" w:w="1440"/>
          </w:tcPr>
          <w:p>
            <w:r>
              <w:rPr>
                <w:rFonts w:ascii="Calibri" w:hAnsi="Calibri"/>
                <w:sz w:val="22"/>
              </w:rPr>
              <w:t>Gift / Disposition (Code G)</w:t>
            </w:r>
          </w:p>
        </w:tc>
        <w:tc>
          <w:tcPr>
            <w:tcW w:type="dxa" w:w="1440"/>
          </w:tcPr>
          <w:p>
            <w:r>
              <w:rPr>
                <w:rFonts w:ascii="Calibri" w:hAnsi="Calibri"/>
                <w:sz w:val="22"/>
              </w:rPr>
              <w:t>20,000 shares</w:t>
            </w:r>
          </w:p>
        </w:tc>
        <w:tc>
          <w:tcPr>
            <w:tcW w:type="dxa" w:w="1440"/>
          </w:tcPr>
          <w:p>
            <w:r>
              <w:rPr>
                <w:rFonts w:ascii="Calibri" w:hAnsi="Calibri"/>
                <w:sz w:val="22"/>
              </w:rPr>
              <w:t>Jun 1, 2026</w:t>
            </w:r>
          </w:p>
        </w:tc>
        <w:tc>
          <w:tcPr>
            <w:tcW w:type="dxa" w:w="1440"/>
          </w:tcPr>
          <w:p>
            <w:r>
              <w:rPr>
                <w:rFonts w:ascii="Calibri" w:hAnsi="Calibri"/>
                <w:sz w:val="22"/>
              </w:rPr>
              <w:t>Gift transaction (Code G = gift); not an open-market sale; no economic signal; CEO retains 1,291,210 shares post-transaction</w:t>
            </w:r>
          </w:p>
        </w:tc>
      </w:tr>
    </w:tbl>
    <w:p>
      <w:r>
        <w:rPr>
          <w:rFonts w:ascii="Calibri" w:hAnsi="Calibri"/>
          <w:i/>
          <w:color w:val="525866"/>
          <w:sz w:val="22"/>
        </w:rPr>
        <w:t>Source: SEC Form 4 filings via Insider Transaction Data. Only Form 4 transactions filed between April 29, 2026 and July 28, 2026 are shown. No open-market buys (Code P) or open-market sells (Code S) were identified in this window. The director stock awards (Code A) are routine annual equity compensation grants and carry no informational signal. The CEO gift (Code G) is a non-market transfer and does not reflect a view on the stock. No 10b5-1 plan initiations were identified in the available data.</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