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VICI Properties (VICI)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VICI Properties Inc.</w:t>
            </w:r>
          </w:p>
        </w:tc>
      </w:tr>
      <w:tr>
        <w:tc>
          <w:tcPr>
            <w:tcW w:type="dxa" w:w="4320"/>
          </w:tcPr>
          <w:p>
            <w:r>
              <w:rPr>
                <w:rFonts w:ascii="Calibri" w:hAnsi="Calibri"/>
                <w:b/>
                <w:sz w:val="22"/>
              </w:rPr>
              <w:t>Ticker</w:t>
            </w:r>
          </w:p>
        </w:tc>
        <w:tc>
          <w:tcPr>
            <w:tcW w:type="dxa" w:w="4320"/>
          </w:tcPr>
          <w:p>
            <w:r>
              <w:rPr>
                <w:rFonts w:ascii="Calibri" w:hAnsi="Calibri"/>
                <w:sz w:val="22"/>
              </w:rPr>
              <w:t>NYSE: VICI</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July 29, 2026 (after market close)</w:t>
            </w:r>
          </w:p>
        </w:tc>
      </w:tr>
      <w:tr>
        <w:tc>
          <w:tcPr>
            <w:tcW w:type="dxa" w:w="4320"/>
          </w:tcPr>
          <w:p>
            <w:r>
              <w:rPr>
                <w:rFonts w:ascii="Calibri" w:hAnsi="Calibri"/>
                <w:b/>
                <w:sz w:val="22"/>
              </w:rPr>
              <w:t>Earnings Call</w:t>
            </w:r>
          </w:p>
        </w:tc>
        <w:tc>
          <w:tcPr>
            <w:tcW w:type="dxa" w:w="4320"/>
          </w:tcPr>
          <w:p>
            <w:r>
              <w:rPr>
                <w:rFonts w:ascii="Calibri" w:hAnsi="Calibri"/>
                <w:sz w:val="22"/>
              </w:rPr>
              <w:t>July 30, 2026 at 10:00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 Sub-Sector</w:t>
            </w:r>
          </w:p>
        </w:tc>
        <w:tc>
          <w:tcPr>
            <w:tcW w:type="dxa" w:w="4320"/>
          </w:tcPr>
          <w:p>
            <w:r>
              <w:rPr>
                <w:rFonts w:ascii="Calibri" w:hAnsi="Calibri"/>
                <w:sz w:val="22"/>
              </w:rPr>
              <w:t>REIT — Experiential / Gaming Net Lease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the Q1 guidance raise has already been absorbed, and VICI's contractual rent structure insulates it from the Las Vegas softness visible in Caesars' Q2 results; the biggest swing factor is whether management raises FY2026 AFFO guidance again and provides incremental color on the Caesars privatization.</w:t>
      </w:r>
    </w:p>
    <w:p>
      <w:r>
        <w:rPr>
          <w:rFonts w:ascii="Calibri" w:hAnsi="Calibri"/>
          <w:color w:val="525866"/>
          <w:sz w:val="22"/>
        </w:rPr>
        <w:t xml:space="preserve">Heading into Q2 2026 results, VICI's bar looks achievable: consensus AFFO per share of $0.615 implies roughly 2.5% sequential growth from Q1's $0.61 actual, and the full-year 2026 AFFO guidance midpoint of $2.455 per share (range $2.44–$2.47) already incorporates the Golden Entertainment acquisition that closed April 30 and the Clairvest/Northfield Park lease that took effect in Q2. </w:t>
      </w:r>
      <w:r>
        <w:rPr>
          <w:rFonts w:ascii="Calibri" w:hAnsi="Calibri"/>
          <w:b/>
          <w:color w:val="525866"/>
          <w:sz w:val="22"/>
        </w:rPr>
        <w:t>Management's tone at Q1 was notably confident</w:t>
      </w:r>
      <w:r>
        <w:rPr>
          <w:rFonts w:ascii="Calibri" w:hAnsi="Calibri"/>
          <w:color w:val="525866"/>
          <w:sz w:val="22"/>
        </w:rPr>
        <w:t xml:space="preserve"> — the company delivered its first-ever back-to-back quarters of $1B+ in new capital commitments and raised FY guidance materially above the prior high end — and there is no indication of a tone shift since. Estimate revisions have been essentially flat since the Q1 print (AFFO/share consensus moved from $0.616 to $0.615 for Q2), suggesting the street has already digested the guidance raise with little incremental upward pressure, leaving room for a modest beat to drive positive sentiment. The stock has underperformed both XLRE and the S&amp;P 500 since the Q1 print (VICI −5.2% vs. XLRE +5.4% vs. SPY +4.1% since April 29), trading near multi-year low EV/EBITDA multiples (~12.7x NTM vs. a 3-year average ~15x), which means the stock has not priced in a beat and any guidance raise could be a meaningful catalyst. </w:t>
      </w:r>
      <w:r>
        <w:rPr>
          <w:rFonts w:ascii="Calibri" w:hAnsi="Calibri"/>
          <w:b/>
          <w:color w:val="525866"/>
          <w:sz w:val="22"/>
        </w:rPr>
        <w:t>The single biggest wildcard is the Caesars privatization by Fertitta Entertainment</w:t>
      </w:r>
      <w:r>
        <w:rPr>
          <w:rFonts w:ascii="Calibri" w:hAnsi="Calibri"/>
          <w:color w:val="525866"/>
          <w:sz w:val="22"/>
        </w:rPr>
        <w:t xml:space="preserve"> — Caesars filed its Q2 earnings release without hosting a conference call due to the pending deal, and VICI management has declined to comment as a matter of policy; any update on lease structure, rent coverage, or strategic implications under new private ownership could move the stock sharply in either direction.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 AFFO/share of $0.615 is achievable given the full-quarter contribution of Golden Entertainment and Northfield Park leases. NOI is the bigger swing factor given the Caesars Las Vegas softness visible in Q2 peer results, though VICI's triple-net structure largely insulates reported NOI from operator-level revenue fluctuations.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AFFO per Share ($)</w:t>
            </w:r>
          </w:p>
        </w:tc>
        <w:tc>
          <w:tcPr>
            <w:tcW w:type="dxa" w:w="1234"/>
          </w:tcPr>
          <w:p>
            <w:r>
              <w:rPr>
                <w:rFonts w:ascii="Calibri" w:hAnsi="Calibri"/>
                <w:sz w:val="22"/>
              </w:rPr>
              <w:t>$0.61</w:t>
            </w:r>
          </w:p>
        </w:tc>
        <w:tc>
          <w:tcPr>
            <w:tcW w:type="dxa" w:w="1234"/>
          </w:tcPr>
          <w:p>
            <w:r>
              <w:rPr>
                <w:rFonts w:ascii="Calibri" w:hAnsi="Calibri"/>
                <w:sz w:val="22"/>
              </w:rPr>
              <w:t>$0.60</w:t>
            </w:r>
          </w:p>
        </w:tc>
        <w:tc>
          <w:tcPr>
            <w:tcW w:type="dxa" w:w="1234"/>
          </w:tcPr>
          <w:p>
            <w:r>
              <w:rPr>
                <w:rFonts w:ascii="Calibri" w:hAnsi="Calibri"/>
                <w:sz w:val="22"/>
              </w:rPr>
              <w:t>$0.615</w:t>
            </w:r>
          </w:p>
        </w:tc>
        <w:tc>
          <w:tcPr>
            <w:tcW w:type="dxa" w:w="1234"/>
          </w:tcPr>
          <w:p>
            <w:r>
              <w:rPr>
                <w:rFonts w:ascii="Calibri" w:hAnsi="Calibri"/>
                <w:sz w:val="22"/>
              </w:rPr>
              <w:t>+2.5% YoY</w:t>
            </w:r>
          </w:p>
        </w:tc>
        <w:tc>
          <w:tcPr>
            <w:tcW w:type="dxa" w:w="1234"/>
          </w:tcPr>
          <w:p>
            <w:r>
              <w:rPr>
                <w:rFonts w:ascii="Calibri" w:hAnsi="Calibri"/>
                <w:sz w:val="22"/>
              </w:rPr>
              <w:t>$2.44–$2.47 ($2.455 mid)</w:t>
            </w:r>
          </w:p>
        </w:tc>
        <w:tc>
          <w:tcPr>
            <w:tcW w:type="dxa" w:w="1234"/>
          </w:tcPr>
          <w:p>
            <w:r>
              <w:rPr>
                <w:rFonts w:ascii="Calibri" w:hAnsi="Calibri"/>
                <w:sz w:val="22"/>
              </w:rPr>
              <w:t>~0.0% (in-line with mid)</w:t>
            </w:r>
          </w:p>
        </w:tc>
      </w:tr>
      <w:tr>
        <w:tc>
          <w:tcPr>
            <w:tcW w:type="dxa" w:w="1234"/>
          </w:tcPr>
          <w:p>
            <w:r>
              <w:rPr>
                <w:rFonts w:ascii="Calibri" w:hAnsi="Calibri"/>
                <w:sz w:val="22"/>
              </w:rPr>
              <w:t>AFFO ($M)</w:t>
            </w:r>
          </w:p>
        </w:tc>
        <w:tc>
          <w:tcPr>
            <w:tcW w:type="dxa" w:w="1234"/>
          </w:tcPr>
          <w:p>
            <w:r>
              <w:rPr>
                <w:rFonts w:ascii="Calibri" w:hAnsi="Calibri"/>
                <w:sz w:val="22"/>
              </w:rPr>
              <w:t>$650.9M</w:t>
            </w:r>
          </w:p>
        </w:tc>
        <w:tc>
          <w:tcPr>
            <w:tcW w:type="dxa" w:w="1234"/>
          </w:tcPr>
          <w:p>
            <w:r>
              <w:rPr>
                <w:rFonts w:ascii="Calibri" w:hAnsi="Calibri"/>
                <w:sz w:val="22"/>
              </w:rPr>
              <w:t>$630.2M</w:t>
            </w:r>
          </w:p>
        </w:tc>
        <w:tc>
          <w:tcPr>
            <w:tcW w:type="dxa" w:w="1234"/>
          </w:tcPr>
          <w:p>
            <w:r>
              <w:rPr>
                <w:rFonts w:ascii="Calibri" w:hAnsi="Calibri"/>
                <w:sz w:val="22"/>
              </w:rPr>
              <w:t>$670.1M</w:t>
            </w:r>
          </w:p>
        </w:tc>
        <w:tc>
          <w:tcPr>
            <w:tcW w:type="dxa" w:w="1234"/>
          </w:tcPr>
          <w:p>
            <w:r>
              <w:rPr>
                <w:rFonts w:ascii="Calibri" w:hAnsi="Calibri"/>
                <w:sz w:val="22"/>
              </w:rPr>
              <w:t>+6.3% YoY</w:t>
            </w:r>
          </w:p>
        </w:tc>
        <w:tc>
          <w:tcPr>
            <w:tcW w:type="dxa" w:w="1234"/>
          </w:tcPr>
          <w:p>
            <w:r>
              <w:rPr>
                <w:rFonts w:ascii="Calibri" w:hAnsi="Calibri"/>
                <w:sz w:val="22"/>
              </w:rPr>
              <w:t>$2,665–$2,695M</w:t>
            </w:r>
          </w:p>
        </w:tc>
        <w:tc>
          <w:tcPr>
            <w:tcW w:type="dxa" w:w="1234"/>
          </w:tcPr>
          <w:p>
            <w:r>
              <w:rPr>
                <w:rFonts w:ascii="Calibri" w:hAnsi="Calibri"/>
                <w:sz w:val="22"/>
              </w:rPr>
              <w:t>~0.0% (in-line with mid)</w:t>
            </w:r>
          </w:p>
        </w:tc>
      </w:tr>
      <w:tr>
        <w:tc>
          <w:tcPr>
            <w:tcW w:type="dxa" w:w="1234"/>
          </w:tcPr>
          <w:p>
            <w:r>
              <w:rPr>
                <w:rFonts w:ascii="Calibri" w:hAnsi="Calibri"/>
                <w:sz w:val="22"/>
              </w:rPr>
              <w:t>Net Revenue ($M)</w:t>
            </w:r>
          </w:p>
        </w:tc>
        <w:tc>
          <w:tcPr>
            <w:tcW w:type="dxa" w:w="1234"/>
          </w:tcPr>
          <w:p>
            <w:r>
              <w:rPr>
                <w:rFonts w:ascii="Calibri" w:hAnsi="Calibri"/>
                <w:sz w:val="22"/>
              </w:rPr>
              <w:t>$1,018.5M</w:t>
            </w:r>
          </w:p>
        </w:tc>
        <w:tc>
          <w:tcPr>
            <w:tcW w:type="dxa" w:w="1234"/>
          </w:tcPr>
          <w:p>
            <w:r>
              <w:rPr>
                <w:rFonts w:ascii="Calibri" w:hAnsi="Calibri"/>
                <w:sz w:val="22"/>
              </w:rPr>
              <w:t>$1,001.3M</w:t>
            </w:r>
          </w:p>
        </w:tc>
        <w:tc>
          <w:tcPr>
            <w:tcW w:type="dxa" w:w="1234"/>
          </w:tcPr>
          <w:p>
            <w:r>
              <w:rPr>
                <w:rFonts w:ascii="Calibri" w:hAnsi="Calibri"/>
                <w:sz w:val="22"/>
              </w:rPr>
              <w:t>$1,035.2M</w:t>
            </w:r>
          </w:p>
        </w:tc>
        <w:tc>
          <w:tcPr>
            <w:tcW w:type="dxa" w:w="1234"/>
          </w:tcPr>
          <w:p>
            <w:r>
              <w:rPr>
                <w:rFonts w:ascii="Calibri" w:hAnsi="Calibri"/>
                <w:sz w:val="22"/>
              </w:rPr>
              <w:t>+3.4% YoY</w:t>
            </w:r>
          </w:p>
        </w:tc>
        <w:tc>
          <w:tcPr>
            <w:tcW w:type="dxa" w:w="1234"/>
          </w:tcPr>
          <w:p>
            <w:r>
              <w:rPr>
                <w:rFonts w:ascii="Calibri" w:hAnsi="Calibri"/>
                <w:sz w:val="22"/>
              </w:rPr>
              <w:t>N/A (no revenue guidance)</w:t>
            </w:r>
          </w:p>
        </w:tc>
        <w:tc>
          <w:tcPr>
            <w:tcW w:type="dxa" w:w="1234"/>
          </w:tcPr>
          <w:p>
            <w:r>
              <w:rPr>
                <w:rFonts w:ascii="Calibri" w:hAnsi="Calibri"/>
                <w:sz w:val="22"/>
              </w:rPr>
              <w:t>N/A</w:t>
            </w:r>
          </w:p>
        </w:tc>
      </w:tr>
      <w:tr>
        <w:tc>
          <w:tcPr>
            <w:tcW w:type="dxa" w:w="1234"/>
          </w:tcPr>
          <w:p>
            <w:r>
              <w:rPr>
                <w:rFonts w:ascii="Calibri" w:hAnsi="Calibri"/>
                <w:sz w:val="22"/>
              </w:rPr>
              <w:t>Net Operating Income ($M)</w:t>
            </w:r>
          </w:p>
        </w:tc>
        <w:tc>
          <w:tcPr>
            <w:tcW w:type="dxa" w:w="1234"/>
          </w:tcPr>
          <w:p>
            <w:r>
              <w:rPr>
                <w:rFonts w:ascii="Calibri" w:hAnsi="Calibri"/>
                <w:sz w:val="22"/>
              </w:rPr>
              <w:t>$993.2M</w:t>
            </w:r>
          </w:p>
        </w:tc>
        <w:tc>
          <w:tcPr>
            <w:tcW w:type="dxa" w:w="1234"/>
          </w:tcPr>
          <w:p>
            <w:r>
              <w:rPr>
                <w:rFonts w:ascii="Calibri" w:hAnsi="Calibri"/>
                <w:sz w:val="22"/>
              </w:rPr>
              <w:t>$975.2M</w:t>
            </w:r>
          </w:p>
        </w:tc>
        <w:tc>
          <w:tcPr>
            <w:tcW w:type="dxa" w:w="1234"/>
          </w:tcPr>
          <w:p>
            <w:r>
              <w:rPr>
                <w:rFonts w:ascii="Calibri" w:hAnsi="Calibri"/>
                <w:sz w:val="22"/>
              </w:rPr>
              <w:t>$1,013.5M</w:t>
            </w:r>
          </w:p>
        </w:tc>
        <w:tc>
          <w:tcPr>
            <w:tcW w:type="dxa" w:w="1234"/>
          </w:tcPr>
          <w:p>
            <w:r>
              <w:rPr>
                <w:rFonts w:ascii="Calibri" w:hAnsi="Calibri"/>
                <w:sz w:val="22"/>
              </w:rPr>
              <w:t>+3.9% YoY</w:t>
            </w:r>
          </w:p>
        </w:tc>
        <w:tc>
          <w:tcPr>
            <w:tcW w:type="dxa" w:w="1234"/>
          </w:tcPr>
          <w:p>
            <w:r>
              <w:rPr>
                <w:rFonts w:ascii="Calibri" w:hAnsi="Calibri"/>
                <w:sz w:val="22"/>
              </w:rPr>
              <w:t>N/A (no NOI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VICI Q1 2026 Earnings Release (April 29, 2026). AFFO per share Q2 2026 consensus of $0.615 vs. $0.616 as of May 6, 2026 (5 days post-Q1 print), indicating minimal revision since the Q1 beat. FY2026 AFFO guidance raised at Q1 2026 earnings from prior range of $2.42–$2.45/share to $2.44–$2.47/share.</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AFFO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$0.61</w:t>
            </w:r>
          </w:p>
        </w:tc>
        <w:tc>
          <w:tcPr>
            <w:tcW w:type="dxa" w:w="1728"/>
          </w:tcPr>
          <w:p>
            <w:r>
              <w:rPr>
                <w:rFonts w:ascii="Calibri" w:hAnsi="Calibri"/>
                <w:sz w:val="22"/>
              </w:rPr>
              <w:t>$0.605</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$0.60</w:t>
            </w:r>
          </w:p>
        </w:tc>
        <w:tc>
          <w:tcPr>
            <w:tcW w:type="dxa" w:w="1728"/>
          </w:tcPr>
          <w:p>
            <w:r>
              <w:rPr>
                <w:rFonts w:ascii="Calibri" w:hAnsi="Calibri"/>
                <w:sz w:val="22"/>
              </w:rPr>
              <w:t>$0.595</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$0.60</w:t>
            </w:r>
          </w:p>
        </w:tc>
        <w:tc>
          <w:tcPr>
            <w:tcW w:type="dxa" w:w="1728"/>
          </w:tcPr>
          <w:p>
            <w:r>
              <w:rPr>
                <w:rFonts w:ascii="Calibri" w:hAnsi="Calibri"/>
                <w:sz w:val="22"/>
              </w:rPr>
              <w:t>$0.592</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$0.60</w:t>
            </w:r>
          </w:p>
        </w:tc>
        <w:tc>
          <w:tcPr>
            <w:tcW w:type="dxa" w:w="1728"/>
          </w:tcPr>
          <w:p>
            <w:r>
              <w:rPr>
                <w:rFonts w:ascii="Calibri" w:hAnsi="Calibri"/>
                <w:sz w:val="22"/>
              </w:rPr>
              <w:t>$0.588</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$0.58</w:t>
            </w:r>
          </w:p>
        </w:tc>
        <w:tc>
          <w:tcPr>
            <w:tcW w:type="dxa" w:w="1728"/>
          </w:tcPr>
          <w:p>
            <w:r>
              <w:rPr>
                <w:rFonts w:ascii="Calibri" w:hAnsi="Calibri"/>
                <w:sz w:val="22"/>
              </w:rPr>
              <w:t>$0.579</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$0.57</w:t>
            </w:r>
          </w:p>
        </w:tc>
        <w:tc>
          <w:tcPr>
            <w:tcW w:type="dxa" w:w="1728"/>
          </w:tcPr>
          <w:p>
            <w:r>
              <w:rPr>
                <w:rFonts w:ascii="Calibri" w:hAnsi="Calibri"/>
                <w:sz w:val="22"/>
              </w:rPr>
              <w:t>$0.568</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$0.57</w:t>
            </w:r>
          </w:p>
        </w:tc>
        <w:tc>
          <w:tcPr>
            <w:tcW w:type="dxa" w:w="1728"/>
          </w:tcPr>
          <w:p>
            <w:r>
              <w:rPr>
                <w:rFonts w:ascii="Calibri" w:hAnsi="Calibri"/>
                <w:sz w:val="22"/>
              </w:rPr>
              <w:t>$0.564</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$0.57</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Net Operating Income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$993.2M</w:t>
            </w:r>
          </w:p>
        </w:tc>
        <w:tc>
          <w:tcPr>
            <w:tcW w:type="dxa" w:w="1728"/>
          </w:tcPr>
          <w:p>
            <w:r>
              <w:rPr>
                <w:rFonts w:ascii="Calibri" w:hAnsi="Calibri"/>
                <w:sz w:val="22"/>
              </w:rPr>
              <w:t>$987.1M</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$987.2M</w:t>
            </w:r>
          </w:p>
        </w:tc>
        <w:tc>
          <w:tcPr>
            <w:tcW w:type="dxa" w:w="1728"/>
          </w:tcPr>
          <w:p>
            <w:r>
              <w:rPr>
                <w:rFonts w:ascii="Calibri" w:hAnsi="Calibri"/>
                <w:sz w:val="22"/>
              </w:rPr>
              <w:t>$983.2M</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$981.2M</w:t>
            </w:r>
          </w:p>
        </w:tc>
        <w:tc>
          <w:tcPr>
            <w:tcW w:type="dxa" w:w="1728"/>
          </w:tcPr>
          <w:p>
            <w:r>
              <w:rPr>
                <w:rFonts w:ascii="Calibri" w:hAnsi="Calibri"/>
                <w:sz w:val="22"/>
              </w:rPr>
              <w:t>$974.1M</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$975.2M</w:t>
            </w:r>
          </w:p>
        </w:tc>
        <w:tc>
          <w:tcPr>
            <w:tcW w:type="dxa" w:w="1728"/>
          </w:tcPr>
          <w:p>
            <w:r>
              <w:rPr>
                <w:rFonts w:ascii="Calibri" w:hAnsi="Calibri"/>
                <w:sz w:val="22"/>
              </w:rPr>
              <w:t>$964.8M</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$958.3M</w:t>
            </w:r>
          </w:p>
        </w:tc>
        <w:tc>
          <w:tcPr>
            <w:tcW w:type="dxa" w:w="1728"/>
          </w:tcPr>
          <w:p>
            <w:r>
              <w:rPr>
                <w:rFonts w:ascii="Calibri" w:hAnsi="Calibri"/>
                <w:sz w:val="22"/>
              </w:rPr>
              <w:t>$952.8M</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$949.8M</w:t>
            </w:r>
          </w:p>
        </w:tc>
        <w:tc>
          <w:tcPr>
            <w:tcW w:type="dxa" w:w="1728"/>
          </w:tcPr>
          <w:p>
            <w:r>
              <w:rPr>
                <w:rFonts w:ascii="Calibri" w:hAnsi="Calibri"/>
                <w:sz w:val="22"/>
              </w:rPr>
              <w:t>$941.5M</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$938.5M</w:t>
            </w:r>
          </w:p>
        </w:tc>
        <w:tc>
          <w:tcPr>
            <w:tcW w:type="dxa" w:w="1728"/>
          </w:tcPr>
          <w:p>
            <w:r>
              <w:rPr>
                <w:rFonts w:ascii="Calibri" w:hAnsi="Calibri"/>
                <w:sz w:val="22"/>
              </w:rPr>
              <w:t>$929.7M</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VICI has beaten AFFO/share consensus in every quarter with available data, consistently by 0.2%–2.0%. The beat pattern is driven by the contractual nature of rent escalators and management's conservative guidance philosophy. NOI beats have been similarly consistent and narrow, reflecting the predictability of the triple-net lease model.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FY2026 AFFO guidance was raised materially at Q1 2026 earnings (April 29) and has not been revised since; management tone remains confident, with the Golden Entertainment close and Northfield Park lease adding incremental Q2 rent that is already embedded in the raised guidance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AFFO per Share</w:t>
            </w:r>
          </w:p>
        </w:tc>
        <w:tc>
          <w:tcPr>
            <w:tcW w:type="dxa" w:w="1728"/>
          </w:tcPr>
          <w:p>
            <w:r>
              <w:rPr>
                <w:rFonts w:ascii="Calibri" w:hAnsi="Calibri"/>
                <w:sz w:val="22"/>
              </w:rPr>
              <w:t>$2.42–$2.45 ($2.435 mid)</w:t>
            </w:r>
          </w:p>
        </w:tc>
        <w:tc>
          <w:tcPr>
            <w:tcW w:type="dxa" w:w="1728"/>
          </w:tcPr>
          <w:p>
            <w:r>
              <w:rPr>
                <w:rFonts w:ascii="Calibri" w:hAnsi="Calibri"/>
                <w:sz w:val="22"/>
              </w:rPr>
              <w:t>$2.44–$2.47 ($2.455 mid)</w:t>
            </w:r>
          </w:p>
        </w:tc>
        <w:tc>
          <w:tcPr>
            <w:tcW w:type="dxa" w:w="1728"/>
          </w:tcPr>
          <w:p>
            <w:r>
              <w:rPr>
                <w:rFonts w:ascii="Calibri" w:hAnsi="Calibri"/>
                <w:sz w:val="22"/>
              </w:rPr>
              <w:t>$2.463</w:t>
            </w:r>
          </w:p>
        </w:tc>
        <w:tc>
          <w:tcPr>
            <w:tcW w:type="dxa" w:w="1728"/>
          </w:tcPr>
          <w:p>
            <w:r>
              <w:rPr>
                <w:rFonts w:ascii="Calibri" w:hAnsi="Calibri"/>
                <w:sz w:val="22"/>
              </w:rPr>
              <w:t>↑ Raised at Q1 2026 earnings (Apr 29, 2026); new midpoint above prior high end; reflects Golden Entertainment close + Northfield Park lease</w:t>
            </w:r>
          </w:p>
        </w:tc>
      </w:tr>
      <w:tr>
        <w:tc>
          <w:tcPr>
            <w:tcW w:type="dxa" w:w="1728"/>
          </w:tcPr>
          <w:p>
            <w:r>
              <w:rPr>
                <w:rFonts w:ascii="Calibri" w:hAnsi="Calibri"/>
                <w:sz w:val="22"/>
              </w:rPr>
              <w:t>FY2026 AFFO ($M)</w:t>
            </w:r>
          </w:p>
        </w:tc>
        <w:tc>
          <w:tcPr>
            <w:tcW w:type="dxa" w:w="1728"/>
          </w:tcPr>
          <w:p>
            <w:r>
              <w:rPr>
                <w:rFonts w:ascii="Calibri" w:hAnsi="Calibri"/>
                <w:sz w:val="22"/>
              </w:rPr>
              <w:t>$2,590–$2,625M ($2,607.5M mid)</w:t>
            </w:r>
          </w:p>
        </w:tc>
        <w:tc>
          <w:tcPr>
            <w:tcW w:type="dxa" w:w="1728"/>
          </w:tcPr>
          <w:p>
            <w:r>
              <w:rPr>
                <w:rFonts w:ascii="Calibri" w:hAnsi="Calibri"/>
                <w:sz w:val="22"/>
              </w:rPr>
              <w:t>$2,665–$2,695M ($2,680M mid)</w:t>
            </w:r>
          </w:p>
        </w:tc>
        <w:tc>
          <w:tcPr>
            <w:tcW w:type="dxa" w:w="1728"/>
          </w:tcPr>
          <w:p>
            <w:r>
              <w:rPr>
                <w:rFonts w:ascii="Calibri" w:hAnsi="Calibri"/>
                <w:sz w:val="22"/>
              </w:rPr>
              <w:t>$2,684M</w:t>
            </w:r>
          </w:p>
        </w:tc>
        <w:tc>
          <w:tcPr>
            <w:tcW w:type="dxa" w:w="1728"/>
          </w:tcPr>
          <w:p>
            <w:r>
              <w:rPr>
                <w:rFonts w:ascii="Calibri" w:hAnsi="Calibri"/>
                <w:sz w:val="22"/>
              </w:rPr>
              <w:t>↑ Raised at Q1 2026 earnings (Apr 29, 2026); ~$72.5M increase at midpoint; consensus sits just above midpoint</w:t>
            </w:r>
          </w:p>
        </w:tc>
      </w:tr>
      <w:tr>
        <w:tc>
          <w:tcPr>
            <w:tcW w:type="dxa" w:w="1728"/>
          </w:tcPr>
          <w:p>
            <w:r>
              <w:rPr>
                <w:rFonts w:ascii="Calibri" w:hAnsi="Calibri"/>
                <w:sz w:val="22"/>
              </w:rPr>
              <w:t>Capital Deployment Tone</w:t>
            </w:r>
          </w:p>
        </w:tc>
        <w:tc>
          <w:tcPr>
            <w:tcW w:type="dxa" w:w="1728"/>
          </w:tcPr>
          <w:p>
            <w:r>
              <w:rPr>
                <w:rFonts w:ascii="Calibri" w:hAnsi="Calibri"/>
                <w:sz w:val="22"/>
              </w:rPr>
              <w:t>Selective; equity issuance unattractive at current prices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reiterated reliance on FCF (~$650M/yr after dividends), debt capacity, and alternative capital (ECCV structure with Cain/Eldridge)</w:t>
            </w:r>
          </w:p>
        </w:tc>
      </w:tr>
      <w:tr>
        <w:tc>
          <w:tcPr>
            <w:tcW w:type="dxa" w:w="1728"/>
          </w:tcPr>
          <w:p>
            <w:r>
              <w:rPr>
                <w:rFonts w:ascii="Calibri" w:hAnsi="Calibri"/>
                <w:sz w:val="22"/>
              </w:rPr>
              <w:t>Leverage Target</w:t>
            </w:r>
          </w:p>
        </w:tc>
        <w:tc>
          <w:tcPr>
            <w:tcW w:type="dxa" w:w="1728"/>
          </w:tcPr>
          <w:p>
            <w:r>
              <w:rPr>
                <w:rFonts w:ascii="Calibri" w:hAnsi="Calibri"/>
                <w:sz w:val="22"/>
              </w:rPr>
              <w:t>5.0–5.5x Net Debt/EBITDA; at low end (~5.0x) as of Q1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Golden close partially funded by forward equity settlement ($242M) and cash; leverage expected to remain near low end of range</w:t>
            </w:r>
          </w:p>
        </w:tc>
      </w:tr>
      <w:tr>
        <w:tc>
          <w:tcPr>
            <w:tcW w:type="dxa" w:w="1728"/>
          </w:tcPr>
          <w:p>
            <w:r>
              <w:rPr>
                <w:rFonts w:ascii="Calibri" w:hAnsi="Calibri"/>
                <w:sz w:val="22"/>
              </w:rPr>
              <w:t>Escalator Assumptions</w:t>
            </w:r>
          </w:p>
        </w:tc>
        <w:tc>
          <w:tcPr>
            <w:tcW w:type="dxa" w:w="1728"/>
          </w:tcPr>
          <w:p>
            <w:r>
              <w:rPr>
                <w:rFonts w:ascii="Calibri" w:hAnsi="Calibri"/>
                <w:sz w:val="22"/>
              </w:rPr>
              <w:t>Base rates only; no CPI-linked upside assumed in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any CPI-linked escalator resets above base would be upside to guidance</w:t>
            </w:r>
          </w:p>
        </w:tc>
      </w:tr>
    </w:tbl>
    <w:p>
      <w:r>
        <w:rPr>
          <w:rFonts w:ascii="Calibri" w:hAnsi="Calibri"/>
          <w:color w:val="525866"/>
          <w:sz w:val="22"/>
        </w:rPr>
        <w:t>Source: VICI Q1 2026 Earnings Release and Earnings Call Transcript (April 29–30, 2026). Guidance excludes impact of pending acquisitions without announced closing dates, future dispositions, and non-recurring items. No post-Q1 guidance revision events (8-K, conference, investor day) have been identified.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AFFO/share consensus for Q2 2026 moved only −0.1% and FY2026 moved only −0.04% since 5 days post-Q1 earnings — indicating the street has fully digested the guidance raise with no incremental upward or downward pressure. Consensus sits just above the FY2026 guidance midpoint, leaving a thin but positive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6, 2026 — 5 Days Post-Q1)</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Mid</w:t>
            </w:r>
          </w:p>
        </w:tc>
      </w:tr>
      <w:tr>
        <w:tc>
          <w:tcPr>
            <w:tcW w:type="dxa" w:w="1080"/>
          </w:tcPr>
          <w:p>
            <w:r>
              <w:rPr>
                <w:rFonts w:ascii="Calibri" w:hAnsi="Calibri"/>
                <w:sz w:val="22"/>
              </w:rPr>
              <w:t>AFFO/Share — Q2 2026</w:t>
            </w:r>
          </w:p>
        </w:tc>
        <w:tc>
          <w:tcPr>
            <w:tcW w:type="dxa" w:w="1080"/>
          </w:tcPr>
          <w:p>
            <w:r>
              <w:rPr>
                <w:rFonts w:ascii="Calibri" w:hAnsi="Calibri"/>
                <w:sz w:val="22"/>
              </w:rPr>
              <w:t>$0.616</w:t>
            </w:r>
          </w:p>
        </w:tc>
        <w:tc>
          <w:tcPr>
            <w:tcW w:type="dxa" w:w="1080"/>
          </w:tcPr>
          <w:p>
            <w:r>
              <w:rPr>
                <w:rFonts w:ascii="Calibri" w:hAnsi="Calibri"/>
                <w:sz w:val="22"/>
              </w:rPr>
              <w:t>$0.615</w:t>
            </w:r>
          </w:p>
        </w:tc>
        <w:tc>
          <w:tcPr>
            <w:tcW w:type="dxa" w:w="1080"/>
          </w:tcPr>
          <w:p>
            <w:r>
              <w:rPr>
                <w:rFonts w:ascii="Calibri" w:hAnsi="Calibri"/>
                <w:sz w:val="22"/>
              </w:rPr>
              <w:t>−0.1%</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 FY2026</w:t>
            </w:r>
          </w:p>
        </w:tc>
        <w:tc>
          <w:tcPr>
            <w:tcW w:type="dxa" w:w="1080"/>
          </w:tcPr>
          <w:p>
            <w:r>
              <w:rPr>
                <w:rFonts w:ascii="Calibri" w:hAnsi="Calibri"/>
                <w:sz w:val="22"/>
              </w:rPr>
              <w:t>$2.464</w:t>
            </w:r>
          </w:p>
        </w:tc>
        <w:tc>
          <w:tcPr>
            <w:tcW w:type="dxa" w:w="1080"/>
          </w:tcPr>
          <w:p>
            <w:r>
              <w:rPr>
                <w:rFonts w:ascii="Calibri" w:hAnsi="Calibri"/>
                <w:sz w:val="22"/>
              </w:rPr>
              <w:t>$2.463</w:t>
            </w:r>
          </w:p>
        </w:tc>
        <w:tc>
          <w:tcPr>
            <w:tcW w:type="dxa" w:w="1080"/>
          </w:tcPr>
          <w:p>
            <w:r>
              <w:rPr>
                <w:rFonts w:ascii="Calibri" w:hAnsi="Calibri"/>
                <w:sz w:val="22"/>
              </w:rPr>
              <w:t>−0.04%</w:t>
            </w:r>
          </w:p>
        </w:tc>
        <w:tc>
          <w:tcPr>
            <w:tcW w:type="dxa" w:w="1080"/>
          </w:tcPr>
          <w:p>
            <w:r>
              <w:rPr>
                <w:rFonts w:ascii="Calibri" w:hAnsi="Calibri"/>
                <w:sz w:val="22"/>
              </w:rPr>
              <w:t>$2.42–$2.45 ($2.435 mid)</w:t>
            </w:r>
          </w:p>
        </w:tc>
        <w:tc>
          <w:tcPr>
            <w:tcW w:type="dxa" w:w="1080"/>
          </w:tcPr>
          <w:p>
            <w:r>
              <w:rPr>
                <w:rFonts w:ascii="Calibri" w:hAnsi="Calibri"/>
                <w:sz w:val="22"/>
              </w:rPr>
              <w:t>$2.44–$2.47 ($2.455 mid)</w:t>
            </w:r>
          </w:p>
        </w:tc>
        <w:tc>
          <w:tcPr>
            <w:tcW w:type="dxa" w:w="1080"/>
          </w:tcPr>
          <w:p>
            <w:r>
              <w:rPr>
                <w:rFonts w:ascii="Calibri" w:hAnsi="Calibri"/>
                <w:sz w:val="22"/>
              </w:rPr>
              <w:t>+0.8% at mid</w:t>
            </w:r>
          </w:p>
        </w:tc>
        <w:tc>
          <w:tcPr>
            <w:tcW w:type="dxa" w:w="1080"/>
          </w:tcPr>
          <w:p>
            <w:r>
              <w:rPr>
                <w:rFonts w:ascii="Calibri" w:hAnsi="Calibri"/>
                <w:sz w:val="22"/>
              </w:rPr>
              <w:t>+0.3% above mid</w:t>
            </w:r>
          </w:p>
        </w:tc>
      </w:tr>
      <w:tr>
        <w:tc>
          <w:tcPr>
            <w:tcW w:type="dxa" w:w="1080"/>
          </w:tcPr>
          <w:p>
            <w:r>
              <w:rPr>
                <w:rFonts w:ascii="Calibri" w:hAnsi="Calibri"/>
                <w:sz w:val="22"/>
              </w:rPr>
              <w:t>AFFO ($M) — Q2 2026</w:t>
            </w:r>
          </w:p>
        </w:tc>
        <w:tc>
          <w:tcPr>
            <w:tcW w:type="dxa" w:w="1080"/>
          </w:tcPr>
          <w:p>
            <w:r>
              <w:rPr>
                <w:rFonts w:ascii="Calibri" w:hAnsi="Calibri"/>
                <w:sz w:val="22"/>
              </w:rPr>
              <w:t>$670.7M</w:t>
            </w:r>
          </w:p>
        </w:tc>
        <w:tc>
          <w:tcPr>
            <w:tcW w:type="dxa" w:w="1080"/>
          </w:tcPr>
          <w:p>
            <w:r>
              <w:rPr>
                <w:rFonts w:ascii="Calibri" w:hAnsi="Calibri"/>
                <w:sz w:val="22"/>
              </w:rPr>
              <w:t>$670.1M</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 ($M) — FY2026</w:t>
            </w:r>
          </w:p>
        </w:tc>
        <w:tc>
          <w:tcPr>
            <w:tcW w:type="dxa" w:w="1080"/>
          </w:tcPr>
          <w:p>
            <w:r>
              <w:rPr>
                <w:rFonts w:ascii="Calibri" w:hAnsi="Calibri"/>
                <w:sz w:val="22"/>
              </w:rPr>
              <w:t>$2,684.2M</w:t>
            </w:r>
          </w:p>
        </w:tc>
        <w:tc>
          <w:tcPr>
            <w:tcW w:type="dxa" w:w="1080"/>
          </w:tcPr>
          <w:p>
            <w:r>
              <w:rPr>
                <w:rFonts w:ascii="Calibri" w:hAnsi="Calibri"/>
                <w:sz w:val="22"/>
              </w:rPr>
              <w:t>$2,684.2M</w:t>
            </w:r>
          </w:p>
        </w:tc>
        <w:tc>
          <w:tcPr>
            <w:tcW w:type="dxa" w:w="1080"/>
          </w:tcPr>
          <w:p>
            <w:r>
              <w:rPr>
                <w:rFonts w:ascii="Calibri" w:hAnsi="Calibri"/>
                <w:sz w:val="22"/>
              </w:rPr>
              <w:t>0.0%</w:t>
            </w:r>
          </w:p>
        </w:tc>
        <w:tc>
          <w:tcPr>
            <w:tcW w:type="dxa" w:w="1080"/>
          </w:tcPr>
          <w:p>
            <w:r>
              <w:rPr>
                <w:rFonts w:ascii="Calibri" w:hAnsi="Calibri"/>
                <w:sz w:val="22"/>
              </w:rPr>
              <w:t>$2,590–$2,625M ($2,607.5M mid)</w:t>
            </w:r>
          </w:p>
        </w:tc>
        <w:tc>
          <w:tcPr>
            <w:tcW w:type="dxa" w:w="1080"/>
          </w:tcPr>
          <w:p>
            <w:r>
              <w:rPr>
                <w:rFonts w:ascii="Calibri" w:hAnsi="Calibri"/>
                <w:sz w:val="22"/>
              </w:rPr>
              <w:t>$2,665–$2,695M ($2,680M mid)</w:t>
            </w:r>
          </w:p>
        </w:tc>
        <w:tc>
          <w:tcPr>
            <w:tcW w:type="dxa" w:w="1080"/>
          </w:tcPr>
          <w:p>
            <w:r>
              <w:rPr>
                <w:rFonts w:ascii="Calibri" w:hAnsi="Calibri"/>
                <w:sz w:val="22"/>
              </w:rPr>
              <w:t>+2.8% at mid</w:t>
            </w:r>
          </w:p>
        </w:tc>
        <w:tc>
          <w:tcPr>
            <w:tcW w:type="dxa" w:w="1080"/>
          </w:tcPr>
          <w:p>
            <w:r>
              <w:rPr>
                <w:rFonts w:ascii="Calibri" w:hAnsi="Calibri"/>
                <w:sz w:val="22"/>
              </w:rPr>
              <w:t>+0.2% above mid</w:t>
            </w:r>
          </w:p>
        </w:tc>
      </w:tr>
      <w:tr>
        <w:tc>
          <w:tcPr>
            <w:tcW w:type="dxa" w:w="1080"/>
          </w:tcPr>
          <w:p>
            <w:r>
              <w:rPr>
                <w:rFonts w:ascii="Calibri" w:hAnsi="Calibri"/>
                <w:sz w:val="22"/>
              </w:rPr>
              <w:t>Net Revenue ($M) — Q2 2026</w:t>
            </w:r>
          </w:p>
        </w:tc>
        <w:tc>
          <w:tcPr>
            <w:tcW w:type="dxa" w:w="1080"/>
          </w:tcPr>
          <w:p>
            <w:r>
              <w:rPr>
                <w:rFonts w:ascii="Calibri" w:hAnsi="Calibri"/>
                <w:sz w:val="22"/>
              </w:rPr>
              <w:t>$1,040.9M</w:t>
            </w:r>
          </w:p>
        </w:tc>
        <w:tc>
          <w:tcPr>
            <w:tcW w:type="dxa" w:w="1080"/>
          </w:tcPr>
          <w:p>
            <w:r>
              <w:rPr>
                <w:rFonts w:ascii="Calibri" w:hAnsi="Calibri"/>
                <w:sz w:val="22"/>
              </w:rPr>
              <w:t>$1,035.2M</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($M) — FY2026</w:t>
            </w:r>
          </w:p>
        </w:tc>
        <w:tc>
          <w:tcPr>
            <w:tcW w:type="dxa" w:w="1080"/>
          </w:tcPr>
          <w:p>
            <w:r>
              <w:rPr>
                <w:rFonts w:ascii="Calibri" w:hAnsi="Calibri"/>
                <w:sz w:val="22"/>
              </w:rPr>
              <w:t>$4,170.7M</w:t>
            </w:r>
          </w:p>
        </w:tc>
        <w:tc>
          <w:tcPr>
            <w:tcW w:type="dxa" w:w="1080"/>
          </w:tcPr>
          <w:p>
            <w:r>
              <w:rPr>
                <w:rFonts w:ascii="Calibri" w:hAnsi="Calibri"/>
                <w:sz w:val="22"/>
              </w:rPr>
              <w:t>$4,156.3M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Baseline date of May 6, 2026 represents 5 trading days after the Q1 2026 earnings release (April 29, 2026). Revenue estimates have drifted slightly lower (−0.3–0.5%) since the Q1 print, likely reflecting modest conservatism around the Caesars Las Vegas softness visible in Q2 peer results, but AFFO estimates are essentially unchanged, consistent with the contractual rent structure insulating AFFO from operator-level revenue fluctuations.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VICI has significantly underperformed both XLRE (+5.4%) and the S&amp;P 500 (+4.1%) since the Q1 earnings print on April 29, declining ~5.2% to $27.10 as of July 29, 2026. The underperformance is almost entirely multiple compression (EV/EBITDA contracted ~3.8% over 3 months) rather than estimate cuts, suggesting sentiment/macro headwinds — primarily Caesars privatization uncertainty and REIT sector rate sensitivity — are the driver, not fundamental deterioration.</w:t>
      </w:r>
    </w:p>
    <w:p>
      <w:pPr>
        <w:pStyle w:val="Heading3"/>
      </w:pPr>
      <w:r>
        <w:rPr>
          <w:rFonts w:ascii="Calibri" w:hAnsi="Calibri"/>
          <w:b/>
          <w:color w:val="3B4259"/>
          <w:sz w:val="24"/>
        </w:rPr>
        <w:t>VICI vs. XLRE vs. S&amp;P 500 — Indexed Performance Since April 29,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VICI (Indexed)</w:t>
            </w:r>
          </w:p>
        </w:tc>
        <w:tc>
          <w:tcPr>
            <w:tcW w:type="dxa" w:w="2160"/>
            <w:shd w:val="clear" w:color="auto" w:fill="3B4259"/>
          </w:tcPr>
          <w:p>
            <w:r>
              <w:rPr>
                <w:rFonts w:ascii="Calibri" w:hAnsi="Calibri"/>
                <w:b/>
                <w:color w:val="FFFFFF"/>
                <w:sz w:val="22"/>
              </w:rPr>
              <w:t>XLRE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98.7</w:t>
            </w:r>
          </w:p>
        </w:tc>
        <w:tc>
          <w:tcPr>
            <w:tcW w:type="dxa" w:w="2160"/>
          </w:tcPr>
          <w:p>
            <w:r>
              <w:rPr>
                <w:rFonts w:ascii="Calibri" w:hAnsi="Calibri"/>
                <w:sz w:val="22"/>
              </w:rPr>
              <w:t>100.8</w:t>
            </w:r>
          </w:p>
        </w:tc>
        <w:tc>
          <w:tcPr>
            <w:tcW w:type="dxa" w:w="2160"/>
          </w:tcPr>
          <w:p>
            <w:r>
              <w:rPr>
                <w:rFonts w:ascii="Calibri" w:hAnsi="Calibri"/>
                <w:sz w:val="22"/>
              </w:rPr>
              <w:t>106.3</w:t>
            </w:r>
          </w:p>
        </w:tc>
      </w:tr>
      <w:tr>
        <w:tc>
          <w:tcPr>
            <w:tcW w:type="dxa" w:w="2160"/>
          </w:tcPr>
          <w:p>
            <w:r>
              <w:rPr>
                <w:rFonts w:ascii="Calibri" w:hAnsi="Calibri"/>
                <w:sz w:val="22"/>
              </w:rPr>
              <w:t>Jun 18, 2026 (Caesars deal announced)</w:t>
            </w:r>
          </w:p>
        </w:tc>
        <w:tc>
          <w:tcPr>
            <w:tcW w:type="dxa" w:w="2160"/>
          </w:tcPr>
          <w:p>
            <w:r>
              <w:rPr>
                <w:rFonts w:ascii="Calibri" w:hAnsi="Calibri"/>
                <w:sz w:val="22"/>
              </w:rPr>
              <w:t>91.9</w:t>
            </w:r>
          </w:p>
        </w:tc>
        <w:tc>
          <w:tcPr>
            <w:tcW w:type="dxa" w:w="2160"/>
          </w:tcPr>
          <w:p>
            <w:r>
              <w:rPr>
                <w:rFonts w:ascii="Calibri" w:hAnsi="Calibri"/>
                <w:sz w:val="22"/>
              </w:rPr>
              <w:t>100.5</w:t>
            </w:r>
          </w:p>
        </w:tc>
        <w:tc>
          <w:tcPr>
            <w:tcW w:type="dxa" w:w="2160"/>
          </w:tcPr>
          <w:p>
            <w:r>
              <w:rPr>
                <w:rFonts w:ascii="Calibri" w:hAnsi="Calibri"/>
                <w:sz w:val="22"/>
              </w:rPr>
              <w:t>104.9</w:t>
            </w:r>
          </w:p>
        </w:tc>
      </w:tr>
      <w:tr>
        <w:tc>
          <w:tcPr>
            <w:tcW w:type="dxa" w:w="2160"/>
          </w:tcPr>
          <w:p>
            <w:r>
              <w:rPr>
                <w:rFonts w:ascii="Calibri" w:hAnsi="Calibri"/>
                <w:sz w:val="22"/>
              </w:rPr>
              <w:t>Jun 30, 2026</w:t>
            </w:r>
          </w:p>
        </w:tc>
        <w:tc>
          <w:tcPr>
            <w:tcW w:type="dxa" w:w="2160"/>
          </w:tcPr>
          <w:p>
            <w:r>
              <w:rPr>
                <w:rFonts w:ascii="Calibri" w:hAnsi="Calibri"/>
                <w:sz w:val="22"/>
              </w:rPr>
              <w:t>92.8</w:t>
            </w:r>
          </w:p>
        </w:tc>
        <w:tc>
          <w:tcPr>
            <w:tcW w:type="dxa" w:w="2160"/>
          </w:tcPr>
          <w:p>
            <w:r>
              <w:rPr>
                <w:rFonts w:ascii="Calibri" w:hAnsi="Calibri"/>
                <w:sz w:val="22"/>
              </w:rPr>
              <w:t>100.9</w:t>
            </w:r>
          </w:p>
        </w:tc>
        <w:tc>
          <w:tcPr>
            <w:tcW w:type="dxa" w:w="2160"/>
          </w:tcPr>
          <w:p>
            <w:r>
              <w:rPr>
                <w:rFonts w:ascii="Calibri" w:hAnsi="Calibri"/>
                <w:sz w:val="22"/>
              </w:rPr>
              <w:t>104.9</w:t>
            </w:r>
          </w:p>
        </w:tc>
      </w:tr>
      <w:tr>
        <w:tc>
          <w:tcPr>
            <w:tcW w:type="dxa" w:w="2160"/>
          </w:tcPr>
          <w:p>
            <w:r>
              <w:rPr>
                <w:rFonts w:ascii="Calibri" w:hAnsi="Calibri"/>
                <w:sz w:val="22"/>
              </w:rPr>
              <w:t>Jul 28, 2026</w:t>
            </w:r>
          </w:p>
        </w:tc>
        <w:tc>
          <w:tcPr>
            <w:tcW w:type="dxa" w:w="2160"/>
          </w:tcPr>
          <w:p>
            <w:r>
              <w:rPr>
                <w:rFonts w:ascii="Calibri" w:hAnsi="Calibri"/>
                <w:sz w:val="22"/>
              </w:rPr>
              <w:t>94.8</w:t>
            </w:r>
          </w:p>
        </w:tc>
        <w:tc>
          <w:tcPr>
            <w:tcW w:type="dxa" w:w="2160"/>
          </w:tcPr>
          <w:p>
            <w:r>
              <w:rPr>
                <w:rFonts w:ascii="Calibri" w:hAnsi="Calibri"/>
                <w:sz w:val="22"/>
              </w:rPr>
              <w:t>105.5</w:t>
            </w:r>
          </w:p>
        </w:tc>
        <w:tc>
          <w:tcPr>
            <w:tcW w:type="dxa" w:w="2160"/>
          </w:tcPr>
          <w:p>
            <w:r>
              <w:rPr>
                <w:rFonts w:ascii="Calibri" w:hAnsi="Calibri"/>
                <w:sz w:val="22"/>
              </w:rPr>
              <w:t>104.1</w:t>
            </w:r>
          </w:p>
        </w:tc>
      </w:tr>
      <w:tr>
        <w:tc>
          <w:tcPr>
            <w:tcW w:type="dxa" w:w="2160"/>
          </w:tcPr>
          <w:p>
            <w:r>
              <w:rPr>
                <w:rFonts w:ascii="Calibri" w:hAnsi="Calibri"/>
                <w:sz w:val="22"/>
              </w:rPr>
              <w:t>Jul 29, 2026 (Today)</w:t>
            </w:r>
          </w:p>
        </w:tc>
        <w:tc>
          <w:tcPr>
            <w:tcW w:type="dxa" w:w="2160"/>
          </w:tcPr>
          <w:p>
            <w:r>
              <w:rPr>
                <w:rFonts w:ascii="Calibri" w:hAnsi="Calibri"/>
                <w:sz w:val="22"/>
              </w:rPr>
              <w:t>94.8</w:t>
            </w:r>
          </w:p>
        </w:tc>
        <w:tc>
          <w:tcPr>
            <w:tcW w:type="dxa" w:w="2160"/>
          </w:tcPr>
          <w:p>
            <w:r>
              <w:rPr>
                <w:rFonts w:ascii="Calibri" w:hAnsi="Calibri"/>
                <w:sz w:val="22"/>
              </w:rPr>
              <w:t>105.4</w:t>
            </w:r>
          </w:p>
        </w:tc>
        <w:tc>
          <w:tcPr>
            <w:tcW w:type="dxa" w:w="2160"/>
          </w:tcPr>
          <w:p>
            <w:r>
              <w:rPr>
                <w:rFonts w:ascii="Calibri" w:hAnsi="Calibri"/>
                <w:sz w:val="22"/>
              </w:rPr>
              <w:t>104.1</w:t>
            </w:r>
          </w:p>
        </w:tc>
      </w:tr>
    </w:tbl>
    <w:p>
      <w:r>
        <w:rPr>
          <w:rFonts w:ascii="Calibri" w:hAnsi="Calibri"/>
          <w:b/>
          <w:color w:val="525866"/>
          <w:sz w:val="22"/>
        </w:rPr>
        <w:t xml:space="preserve">Note: </w:t>
      </w:r>
      <w:r>
        <w:rPr>
          <w:rFonts w:ascii="Calibri" w:hAnsi="Calibri"/>
          <w:color w:val="525866"/>
          <w:sz w:val="22"/>
        </w:rPr>
        <w:t>XLRE (Real Estate Select Sector SPDR ETF) is the appropriate sector benchmark for VICI as a REIT. Indexed to 100 at April 29, 2026 (Q1 2026 earnings release date). VICI closed at $28.60 on April 29, 2026 and $27.10 on July 29, 2026 (−5.2%). XLRE closed at $43.64 on April 29 and $46.01 on July 29 (+5.4%). SPY closed at $711.58 on April 29 and $740.86 on July 29 (+4.1%). Source: Stock Price Data (Yahoo Finance). Key event: Caesars privatization announcement (Fertitta Entertainment deal, May 28, 2026) coincided with VICI's sharpest leg lower in mid-June, as the stock dropped from ~$28.50 to ~$26.28 between May 28 and June 18, 2026.</w:t>
      </w:r>
    </w:p>
    <w:p>
      <w:r>
        <w:rPr>
          <w:rFonts w:ascii="Calibri" w:hAnsi="Calibri"/>
          <w:b/>
          <w:color w:val="525866"/>
          <w:sz w:val="22"/>
        </w:rPr>
        <w:t xml:space="preserve">Valuation Context: </w:t>
      </w:r>
      <w:r>
        <w:rPr>
          <w:rFonts w:ascii="Calibri" w:hAnsi="Calibri"/>
          <w:color w:val="525866"/>
          <w:sz w:val="22"/>
        </w:rPr>
        <w:t>VICI's NTM EV/EBITDA of 12.7x represents a ~10% discount to its diversified REIT peer group average (~13.9x) and a ~20% discount to its own 1-year trailing average multiple of ~15.9x. The stock trades at a ~15% discount to its 3-year average premium/discount vs. peers, suggesting the Caesars overhang and REIT sector rate sensitivity have created a valuation gap that could close on a clean print with guidance reiteration or raise.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Caesars privatization by Fertitta Entertainment (announced May 28, 2026) is the single most important development since Q1 earnings — it introduces structural uncertainty around VICI's largest tenant relationship and is the primary driver of the stock's underperformance vs. XLRE since the Q1 print.</w:t>
      </w:r>
    </w:p>
    <w:p>
      <w:pPr>
        <w:pStyle w:val="ListBullet"/>
        <w:ind w:left="360" w:hanging="360"/>
      </w:pPr>
      <w:r>
        <w:rPr>
          <w:rFonts w:ascii="Calibri" w:hAnsi="Calibri"/>
          <w:b/>
          <w:color w:val="525866"/>
          <w:sz w:val="22"/>
        </w:rPr>
        <w:t>May 28, 2026 — Caesars Entertainment announces definitive agreement to be acquired by Fertitta Entertainment, Inc.</w:t>
      </w:r>
      <w:r>
        <w:rPr>
          <w:rFonts w:ascii="Calibri" w:hAnsi="Calibri"/>
          <w:color w:val="525866"/>
          <w:sz w:val="22"/>
        </w:rPr>
        <w:t xml:space="preserve"> Caesars' Q2 2026 earnings release (July 28) was filed without a conference call due to the pending deal. Upon completion, Caesars will be delisted from NASDAQ and become private. Implication for VICI: Caesars is VICI's largest tenant; privatization introduces uncertainty around future strategic decisions, capital allocation, and public financial disclosure, though existing triple-net lease agreements are contractually robust. Management has declined to comment as a matter of policy.</w:t>
      </w:r>
    </w:p>
    <w:p>
      <w:pPr>
        <w:pStyle w:val="ListBullet"/>
        <w:ind w:left="360" w:hanging="360"/>
      </w:pPr>
      <w:r>
        <w:rPr>
          <w:rFonts w:ascii="Calibri" w:hAnsi="Calibri"/>
          <w:b/>
          <w:color w:val="525866"/>
          <w:sz w:val="22"/>
        </w:rPr>
        <w:t>April 30, 2026 — Golden Entertainment acquisition closes ($1.16B).</w:t>
      </w:r>
      <w:r>
        <w:rPr>
          <w:rFonts w:ascii="Calibri" w:hAnsi="Calibri"/>
          <w:color w:val="525866"/>
          <w:sz w:val="22"/>
        </w:rPr>
        <w:t xml:space="preserve"> VICI acquires 100% of the land and real property of seven casino properties from Golden Entertainment, entering into a 30-year triple-net master lease at $87M initial annual rent (7.5% cap rate), with 2% annual escalators beginning in Lease Year 3. Adds VICI's 15th tenant and first meaningful Las Vegas locals market exposure. Implication: Full-quarter Golden rent contribution (~$21.75M) is embedded in Q2 2026 and is a key driver of the sequential AFFO step-up from Q1.</w:t>
      </w:r>
    </w:p>
    <w:p>
      <w:pPr>
        <w:pStyle w:val="ListBullet"/>
        <w:ind w:left="360" w:hanging="360"/>
      </w:pPr>
      <w:r>
        <w:rPr>
          <w:rFonts w:ascii="Calibri" w:hAnsi="Calibri"/>
          <w:b/>
          <w:color w:val="525866"/>
          <w:sz w:val="22"/>
        </w:rPr>
        <w:t>April 21, 2026 — Clairvest/Northfield Park lease agreement.</w:t>
      </w:r>
      <w:r>
        <w:rPr>
          <w:rFonts w:ascii="Calibri" w:hAnsi="Calibri"/>
          <w:color w:val="525866"/>
          <w:sz w:val="22"/>
        </w:rPr>
        <w:t xml:space="preserve"> VICI entered a new triple-net lease with Clairvest following its acquisition of MGM Northfield Park in Ohio, adding VICI's 14th tenant with no change to total rent collected (rent carved out of MGM master lease). Implication: Tenant diversification positive; no AFFO impact but reduces concentration risk.</w:t>
      </w:r>
    </w:p>
    <w:p>
      <w:pPr>
        <w:pStyle w:val="ListBullet"/>
        <w:ind w:left="360" w:hanging="360"/>
      </w:pPr>
      <w:r>
        <w:rPr>
          <w:rFonts w:ascii="Calibri" w:hAnsi="Calibri"/>
          <w:b/>
          <w:color w:val="525866"/>
          <w:sz w:val="22"/>
        </w:rPr>
        <w:t>April 29, 2026 — Forward equity settlement.</w:t>
      </w:r>
      <w:r>
        <w:rPr>
          <w:rFonts w:ascii="Calibri" w:hAnsi="Calibri"/>
          <w:color w:val="525866"/>
          <w:sz w:val="22"/>
        </w:rPr>
        <w:t xml:space="preserve"> VICI settled remaining 7.75M shares under outstanding forward sale agreements, generating ~$242.1M in net proceeds to partially fund the Golden transaction. Implication: Share count increase (~0.7%) is a modest headwind to per-share metrics in Q2 vs. Q1.</w:t>
      </w:r>
    </w:p>
    <w:p>
      <w:pPr>
        <w:pStyle w:val="ListBullet"/>
        <w:ind w:left="360" w:hanging="360"/>
      </w:pPr>
      <w:r>
        <w:rPr>
          <w:rFonts w:ascii="Calibri" w:hAnsi="Calibri"/>
          <w:b/>
          <w:color w:val="525866"/>
          <w:sz w:val="22"/>
        </w:rPr>
        <w:t>March 23, 2026 — One Beverly Hills mezzanine loan expanded to $1.5B.</w:t>
      </w:r>
      <w:r>
        <w:rPr>
          <w:rFonts w:ascii="Calibri" w:hAnsi="Calibri"/>
          <w:color w:val="525866"/>
          <w:sz w:val="22"/>
        </w:rPr>
        <w:t xml:space="preserve"> VICI expanded its Cain/Eldridge relationship with a $1.5B mezzanine loan for the One Beverly Hills development (initial $650M funded at close, remainder over 4-year term). Phased delivery commences 2028. Implication: Incremental interest income from the $650M initial funding is a Q2 contributor; the ECCV bilateral capital partnership structure formalizes a new non-gaming growth avenue.</w:t>
      </w:r>
    </w:p>
    <w:p>
      <w:pPr>
        <w:pStyle w:val="ListBullet"/>
        <w:ind w:left="360" w:hanging="360"/>
      </w:pPr>
      <w:r>
        <w:rPr>
          <w:rFonts w:ascii="Calibri" w:hAnsi="Calibri"/>
          <w:b/>
          <w:color w:val="525866"/>
          <w:sz w:val="22"/>
        </w:rPr>
        <w:t>March 30, 2026 — Canadian casino portfolio acquisition announced (pending).</w:t>
      </w:r>
      <w:r>
        <w:rPr>
          <w:rFonts w:ascii="Calibri" w:hAnsi="Calibri"/>
          <w:color w:val="525866"/>
          <w:sz w:val="22"/>
        </w:rPr>
        <w:t xml:space="preserve"> VICI announced pending acquisition of four Alberta casino real estate assets (Deerfoot Inn &amp; Casino, Great Northern Casino, two adjacent hotels) for CAD$200.6M / USD$144.4M at 8.0% cap rate, in connection with PURE Casino Entertainment's take-private of Gamehost. Implication: First international gaming real estate activity; adds CAD$16.1M / USD$11.6M in annual rent upon close; PURE master lease extended to 25-year initial term.</w:t>
      </w:r>
    </w:p>
    <w:p>
      <w:pPr>
        <w:pStyle w:val="ListBullet"/>
        <w:ind w:left="360" w:hanging="360"/>
      </w:pPr>
      <w:r>
        <w:rPr>
          <w:rFonts w:ascii="Calibri" w:hAnsi="Calibri"/>
          <w:b/>
          <w:color w:val="525866"/>
          <w:sz w:val="22"/>
        </w:rPr>
        <w:t>Resorts World New York opened April 28, 2026 with table games.</w:t>
      </w:r>
      <w:r>
        <w:rPr>
          <w:rFonts w:ascii="Calibri" w:hAnsi="Calibri"/>
          <w:color w:val="525866"/>
          <w:sz w:val="22"/>
        </w:rPr>
        <w:t xml:space="preserve"> Full commercial casino opened in New York City two days before VICI's Q1 earnings call. Implication: Potential competitive pressure on Caesars Atlantic City and other Northeast regional assets; management flagged as a watch item but noted strong asset-level coverage at affected properties.</w:t>
      </w:r>
    </w:p>
    <w:p>
      <w:pPr>
        <w:pStyle w:val="ListBullet"/>
        <w:ind w:left="360" w:hanging="360"/>
      </w:pPr>
      <w:r>
        <w:rPr>
          <w:rFonts w:ascii="Calibri" w:hAnsi="Calibri"/>
          <w:b/>
          <w:color w:val="525866"/>
          <w:sz w:val="22"/>
        </w:rPr>
        <w:t>Century Casinos strategic review ongoing.</w:t>
      </w:r>
      <w:r>
        <w:rPr>
          <w:rFonts w:ascii="Calibri" w:hAnsi="Calibri"/>
          <w:color w:val="525866"/>
          <w:sz w:val="22"/>
        </w:rPr>
        <w:t xml:space="preserve"> Century Casinos (VICI's smallest tenant) is undergoing a strategic review. Management cited strong asset-level coverage and good execution at the Missouri assets (where VICI has a property growth fund investment). Implication: Watch item; VICI's lease coverage is described as very strong, limiting near-term risk.</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buys or sells (Form 4 codes P/S) were identified for VICI in the 60-day window prior to the Q2 2026 earnings release. The absence of insider activity is neither a positive nor negative signal for a large-cap REIT where management compensation is primarily equity-based and trading windows are tightly restricted around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 in the 60-day pre-earnings window (May 29 – July 29,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Typical pre-earnings blackout period; no Form 4 P/S codes found via SEC database query</w:t>
            </w:r>
          </w:p>
        </w:tc>
      </w:tr>
    </w:tbl>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Peer Q2 2026 results present a mixed but manageable read-through for VICI: Caesars' Las Vegas EBITDA declined 12.6% YoY (negative for tenant health optics) while regional EBITDA grew 11.2% YoY (positive), and BetMGM's digital business remains profitable and growing. Critically, VICI's triple-net lease structure means operator-level revenue softness does not directly impact VICI's rent receipts — the read-through is primarily a tenant credit quality and long-term lease coverage signal, not a near-term AFFO risk.</w:t>
      </w:r>
    </w:p>
    <w:p>
      <w:r>
        <w:rPr>
          <w:rFonts w:ascii="Calibri" w:hAnsi="Calibri"/>
          <w:i/>
          <w:color w:val="525866"/>
          <w:sz w:val="22"/>
        </w:rPr>
        <w:t xml:space="preserve">Scope: </w:t>
      </w:r>
      <w:r>
        <w:rPr>
          <w:rFonts w:ascii="Calibri" w:hAnsi="Calibri"/>
          <w:i/>
          <w:color w:val="525866"/>
          <w:sz w:val="22"/>
        </w:rPr>
        <w:t>Only commentary from the last 60 days (May 29 – July 29, 2026) pertaining to Q2 2026 current-quarter conditions or forward outlook is included below. Prior-quarter-only backward-looking commentary is excluded. Peers are categorized by relevance to VICI's portfolio.</w:t>
      </w:r>
    </w:p>
    <w:p>
      <w:pPr>
        <w:pStyle w:val="Heading3"/>
      </w:pPr>
      <w:r>
        <w:rPr>
          <w:rFonts w:ascii="Calibri" w:hAnsi="Calibri"/>
          <w:b/>
          <w:color w:val="3B4259"/>
          <w:sz w:val="24"/>
        </w:rPr>
        <w:t>A. Caesars Entertainment (CZR) — Direct Tenant Read-Through (Q2 2026 Results, July 28, 2026)</w:t>
      </w:r>
    </w:p>
    <w:p>
      <w:r>
        <w:rPr>
          <w:rFonts w:ascii="Calibri" w:hAnsi="Calibri"/>
          <w:b/>
          <w:color w:val="525866"/>
          <w:sz w:val="22"/>
        </w:rPr>
        <w:t xml:space="preserve">Relevance: </w:t>
      </w:r>
      <w:r>
        <w:rPr>
          <w:rFonts w:ascii="Calibri" w:hAnsi="Calibri"/>
          <w:color w:val="525866"/>
          <w:sz w:val="22"/>
        </w:rPr>
        <w:t>Caesars is VICI's largest tenant, operating under the Caesars Las Vegas Master Lease and Caesars Regional Master Lease. Q2 2026 results are the most direct read-through available.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Q2 2026 Result</w:t>
            </w:r>
          </w:p>
        </w:tc>
        <w:tc>
          <w:tcPr>
            <w:tcW w:type="dxa" w:w="2160"/>
            <w:shd w:val="clear" w:color="auto" w:fill="3B4259"/>
          </w:tcPr>
          <w:p>
            <w:r>
              <w:rPr>
                <w:rFonts w:ascii="Calibri" w:hAnsi="Calibri"/>
                <w:b/>
                <w:color w:val="FFFFFF"/>
                <w:sz w:val="22"/>
              </w:rPr>
              <w:t>YoY Change</w:t>
            </w:r>
          </w:p>
        </w:tc>
        <w:tc>
          <w:tcPr>
            <w:tcW w:type="dxa" w:w="2160"/>
            <w:shd w:val="clear" w:color="auto" w:fill="3B4259"/>
          </w:tcPr>
          <w:p>
            <w:r>
              <w:rPr>
                <w:rFonts w:ascii="Calibri" w:hAnsi="Calibri"/>
                <w:b/>
                <w:color w:val="FFFFFF"/>
                <w:sz w:val="22"/>
              </w:rPr>
              <w:t>Read-Through to VICI</w:t>
            </w:r>
          </w:p>
        </w:tc>
      </w:tr>
      <w:tr>
        <w:tc>
          <w:tcPr>
            <w:tcW w:type="dxa" w:w="2160"/>
          </w:tcPr>
          <w:p>
            <w:r>
              <w:rPr>
                <w:rFonts w:ascii="Calibri" w:hAnsi="Calibri"/>
                <w:sz w:val="22"/>
              </w:rPr>
              <w:t>Las Vegas Net Revenue</w:t>
            </w:r>
          </w:p>
        </w:tc>
        <w:tc>
          <w:tcPr>
            <w:tcW w:type="dxa" w:w="2160"/>
          </w:tcPr>
          <w:p>
            <w:r>
              <w:rPr>
                <w:rFonts w:ascii="Calibri" w:hAnsi="Calibri"/>
                <w:sz w:val="22"/>
              </w:rPr>
              <w:t>$1,017M</w:t>
            </w:r>
          </w:p>
        </w:tc>
        <w:tc>
          <w:tcPr>
            <w:tcW w:type="dxa" w:w="2160"/>
          </w:tcPr>
          <w:p>
            <w:r>
              <w:rPr>
                <w:rFonts w:ascii="Calibri" w:hAnsi="Calibri"/>
                <w:b/>
                <w:color w:val="E5484D"/>
                <w:sz w:val="22"/>
              </w:rPr>
              <w:t>−3.5%</w:t>
            </w:r>
          </w:p>
        </w:tc>
        <w:tc>
          <w:tcPr>
            <w:tcW w:type="dxa" w:w="2160"/>
          </w:tcPr>
          <w:p>
            <w:r>
              <w:rPr>
                <w:rFonts w:ascii="Calibri" w:hAnsi="Calibri"/>
                <w:sz w:val="22"/>
              </w:rPr>
              <w:t>Negative optics for tenant health; does not directly impact VICI's fixed rent</w:t>
            </w:r>
          </w:p>
        </w:tc>
      </w:tr>
      <w:tr>
        <w:tc>
          <w:tcPr>
            <w:tcW w:type="dxa" w:w="2160"/>
          </w:tcPr>
          <w:p>
            <w:r>
              <w:rPr>
                <w:rFonts w:ascii="Calibri" w:hAnsi="Calibri"/>
                <w:sz w:val="22"/>
              </w:rPr>
              <w:t>Las Vegas Adjusted EBITDA</w:t>
            </w:r>
          </w:p>
        </w:tc>
        <w:tc>
          <w:tcPr>
            <w:tcW w:type="dxa" w:w="2160"/>
          </w:tcPr>
          <w:p>
            <w:r>
              <w:rPr>
                <w:rFonts w:ascii="Calibri" w:hAnsi="Calibri"/>
                <w:sz w:val="22"/>
              </w:rPr>
              <w:t>$410M</w:t>
            </w:r>
          </w:p>
        </w:tc>
        <w:tc>
          <w:tcPr>
            <w:tcW w:type="dxa" w:w="2160"/>
          </w:tcPr>
          <w:p>
            <w:r>
              <w:rPr>
                <w:rFonts w:ascii="Calibri" w:hAnsi="Calibri"/>
                <w:b/>
                <w:color w:val="E5484D"/>
                <w:sz w:val="22"/>
              </w:rPr>
              <w:t>−12.6%</w:t>
            </w:r>
          </w:p>
        </w:tc>
        <w:tc>
          <w:tcPr>
            <w:tcW w:type="dxa" w:w="2160"/>
          </w:tcPr>
          <w:p>
            <w:r>
              <w:rPr>
                <w:rFonts w:ascii="Calibri" w:hAnsi="Calibri"/>
                <w:sz w:val="22"/>
              </w:rPr>
              <w:t>Meaningful EBITDA decline; watch for rent coverage ratio trends; still well above VICI's fixed rent obligation</w:t>
            </w:r>
          </w:p>
        </w:tc>
      </w:tr>
      <w:tr>
        <w:tc>
          <w:tcPr>
            <w:tcW w:type="dxa" w:w="2160"/>
          </w:tcPr>
          <w:p>
            <w:r>
              <w:rPr>
                <w:rFonts w:ascii="Calibri" w:hAnsi="Calibri"/>
                <w:sz w:val="22"/>
              </w:rPr>
              <w:t>Regional Net Revenue</w:t>
            </w:r>
          </w:p>
        </w:tc>
        <w:tc>
          <w:tcPr>
            <w:tcW w:type="dxa" w:w="2160"/>
          </w:tcPr>
          <w:p>
            <w:r>
              <w:rPr>
                <w:rFonts w:ascii="Calibri" w:hAnsi="Calibri"/>
                <w:sz w:val="22"/>
              </w:rPr>
              <w:t>$1,570M</w:t>
            </w:r>
          </w:p>
        </w:tc>
        <w:tc>
          <w:tcPr>
            <w:tcW w:type="dxa" w:w="2160"/>
          </w:tcPr>
          <w:p>
            <w:r>
              <w:rPr>
                <w:rFonts w:ascii="Calibri" w:hAnsi="Calibri"/>
                <w:b/>
                <w:color w:val="30A46C"/>
                <w:sz w:val="22"/>
              </w:rPr>
              <w:t>+9.4%</w:t>
            </w:r>
          </w:p>
        </w:tc>
        <w:tc>
          <w:tcPr>
            <w:tcW w:type="dxa" w:w="2160"/>
          </w:tcPr>
          <w:p>
            <w:r>
              <w:rPr>
                <w:rFonts w:ascii="Calibri" w:hAnsi="Calibri"/>
                <w:sz w:val="22"/>
              </w:rPr>
              <w:t>Positive; strong regional performance supports rent coverage on Caesars Regional Master Lease</w:t>
            </w:r>
          </w:p>
        </w:tc>
      </w:tr>
      <w:tr>
        <w:tc>
          <w:tcPr>
            <w:tcW w:type="dxa" w:w="2160"/>
          </w:tcPr>
          <w:p>
            <w:r>
              <w:rPr>
                <w:rFonts w:ascii="Calibri" w:hAnsi="Calibri"/>
                <w:sz w:val="22"/>
              </w:rPr>
              <w:t>Regional Adjusted EBITDA</w:t>
            </w:r>
          </w:p>
        </w:tc>
        <w:tc>
          <w:tcPr>
            <w:tcW w:type="dxa" w:w="2160"/>
          </w:tcPr>
          <w:p>
            <w:r>
              <w:rPr>
                <w:rFonts w:ascii="Calibri" w:hAnsi="Calibri"/>
                <w:sz w:val="22"/>
              </w:rPr>
              <w:t>$488M</w:t>
            </w:r>
          </w:p>
        </w:tc>
        <w:tc>
          <w:tcPr>
            <w:tcW w:type="dxa" w:w="2160"/>
          </w:tcPr>
          <w:p>
            <w:r>
              <w:rPr>
                <w:rFonts w:ascii="Calibri" w:hAnsi="Calibri"/>
                <w:b/>
                <w:color w:val="30A46C"/>
                <w:sz w:val="22"/>
              </w:rPr>
              <w:t>+11.2%</w:t>
            </w:r>
          </w:p>
        </w:tc>
        <w:tc>
          <w:tcPr>
            <w:tcW w:type="dxa" w:w="2160"/>
          </w:tcPr>
          <w:p>
            <w:r>
              <w:rPr>
                <w:rFonts w:ascii="Calibri" w:hAnsi="Calibri"/>
                <w:sz w:val="22"/>
              </w:rPr>
              <w:t>Positive; regional profitability growth enhances Caesars' ability to service lease obligations</w:t>
            </w:r>
          </w:p>
        </w:tc>
      </w:tr>
      <w:tr>
        <w:tc>
          <w:tcPr>
            <w:tcW w:type="dxa" w:w="2160"/>
          </w:tcPr>
          <w:p>
            <w:r>
              <w:rPr>
                <w:rFonts w:ascii="Calibri" w:hAnsi="Calibri"/>
                <w:sz w:val="22"/>
              </w:rPr>
              <w:t>Consolidated Adjusted EBITDA</w:t>
            </w:r>
          </w:p>
        </w:tc>
        <w:tc>
          <w:tcPr>
            <w:tcW w:type="dxa" w:w="2160"/>
          </w:tcPr>
          <w:p>
            <w:r>
              <w:rPr>
                <w:rFonts w:ascii="Calibri" w:hAnsi="Calibri"/>
                <w:sz w:val="22"/>
              </w:rPr>
              <w:t>$920M</w:t>
            </w:r>
          </w:p>
        </w:tc>
        <w:tc>
          <w:tcPr>
            <w:tcW w:type="dxa" w:w="2160"/>
          </w:tcPr>
          <w:p>
            <w:r>
              <w:rPr>
                <w:rFonts w:ascii="Calibri" w:hAnsi="Calibri"/>
                <w:b/>
                <w:color w:val="E5484D"/>
                <w:sz w:val="22"/>
              </w:rPr>
              <w:t>−3.7%</w:t>
            </w:r>
          </w:p>
        </w:tc>
        <w:tc>
          <w:tcPr>
            <w:tcW w:type="dxa" w:w="2160"/>
          </w:tcPr>
          <w:p>
            <w:r>
              <w:rPr>
                <w:rFonts w:ascii="Calibri" w:hAnsi="Calibri"/>
                <w:sz w:val="22"/>
              </w:rPr>
              <w:t>Modest negative; consolidated EBITDA decline reflects Las Vegas softness partially offset by regional strength</w:t>
            </w:r>
          </w:p>
        </w:tc>
      </w:tr>
      <w:tr>
        <w:tc>
          <w:tcPr>
            <w:tcW w:type="dxa" w:w="2160"/>
          </w:tcPr>
          <w:p>
            <w:r>
              <w:rPr>
                <w:rFonts w:ascii="Calibri" w:hAnsi="Calibri"/>
                <w:sz w:val="22"/>
              </w:rPr>
              <w:t>Net Debt</w:t>
            </w:r>
          </w:p>
        </w:tc>
        <w:tc>
          <w:tcPr>
            <w:tcW w:type="dxa" w:w="2160"/>
          </w:tcPr>
          <w:p>
            <w:r>
              <w:rPr>
                <w:rFonts w:ascii="Calibri" w:hAnsi="Calibri"/>
                <w:sz w:val="22"/>
              </w:rPr>
              <w:t>$10,842M</w:t>
            </w:r>
          </w:p>
        </w:tc>
        <w:tc>
          <w:tcPr>
            <w:tcW w:type="dxa" w:w="2160"/>
          </w:tcPr>
          <w:p>
            <w:r>
              <w:rPr>
                <w:rFonts w:ascii="Calibri" w:hAnsi="Calibri"/>
                <w:b/>
                <w:color w:val="30A46C"/>
                <w:sz w:val="22"/>
              </w:rPr>
              <w:t>−1.6% vs. Dec 2025</w:t>
            </w:r>
          </w:p>
        </w:tc>
        <w:tc>
          <w:tcPr>
            <w:tcW w:type="dxa" w:w="2160"/>
          </w:tcPr>
          <w:p>
            <w:r>
              <w:rPr>
                <w:rFonts w:ascii="Calibri" w:hAnsi="Calibri"/>
                <w:sz w:val="22"/>
              </w:rPr>
              <w:t>Positive; declining leverage improves tenant financial health</w:t>
            </w:r>
          </w:p>
        </w:tc>
      </w:tr>
      <w:tr>
        <w:tc>
          <w:tcPr>
            <w:tcW w:type="dxa" w:w="2160"/>
          </w:tcPr>
          <w:p>
            <w:r>
              <w:rPr>
                <w:rFonts w:ascii="Calibri" w:hAnsi="Calibri"/>
                <w:sz w:val="22"/>
              </w:rPr>
              <w:t>Cash &amp; Equivalents</w:t>
            </w:r>
          </w:p>
        </w:tc>
        <w:tc>
          <w:tcPr>
            <w:tcW w:type="dxa" w:w="2160"/>
          </w:tcPr>
          <w:p>
            <w:r>
              <w:rPr>
                <w:rFonts w:ascii="Calibri" w:hAnsi="Calibri"/>
                <w:sz w:val="22"/>
              </w:rPr>
              <w:t>$965M</w:t>
            </w:r>
          </w:p>
        </w:tc>
        <w:tc>
          <w:tcPr>
            <w:tcW w:type="dxa" w:w="2160"/>
          </w:tcPr>
          <w:p>
            <w:r>
              <w:rPr>
                <w:rFonts w:ascii="Calibri" w:hAnsi="Calibri"/>
                <w:b/>
                <w:color w:val="30A46C"/>
                <w:sz w:val="22"/>
              </w:rPr>
              <w:t>+8.8% vs. Dec 2025</w:t>
            </w:r>
          </w:p>
        </w:tc>
        <w:tc>
          <w:tcPr>
            <w:tcW w:type="dxa" w:w="2160"/>
          </w:tcPr>
          <w:p>
            <w:r>
              <w:rPr>
                <w:rFonts w:ascii="Calibri" w:hAnsi="Calibri"/>
                <w:sz w:val="22"/>
              </w:rPr>
              <w:t>Positive; strong liquidity supports near-term rent payment capacity</w:t>
            </w:r>
          </w:p>
        </w:tc>
      </w:tr>
      <w:tr>
        <w:tc>
          <w:tcPr>
            <w:tcW w:type="dxa" w:w="2160"/>
          </w:tcPr>
          <w:p>
            <w:r>
              <w:rPr>
                <w:rFonts w:ascii="Calibri" w:hAnsi="Calibri"/>
                <w:sz w:val="22"/>
              </w:rPr>
              <w:t>Available Liquidity (Cash + Revolver)</w:t>
            </w:r>
          </w:p>
        </w:tc>
        <w:tc>
          <w:tcPr>
            <w:tcW w:type="dxa" w:w="2160"/>
          </w:tcPr>
          <w:p>
            <w:r>
              <w:rPr>
                <w:rFonts w:ascii="Calibri" w:hAnsi="Calibri"/>
                <w:sz w:val="22"/>
              </w:rPr>
              <w:t>$2,928M</w:t>
            </w:r>
          </w:p>
        </w:tc>
        <w:tc>
          <w:tcPr>
            <w:tcW w:type="dxa" w:w="2160"/>
          </w:tcPr>
          <w:p>
            <w:r>
              <w:rPr>
                <w:rFonts w:ascii="Calibri" w:hAnsi="Calibri"/>
                <w:sz w:val="22"/>
              </w:rPr>
              <w:t>N/A</w:t>
            </w:r>
          </w:p>
        </w:tc>
        <w:tc>
          <w:tcPr>
            <w:tcW w:type="dxa" w:w="2160"/>
          </w:tcPr>
          <w:p>
            <w:r>
              <w:rPr>
                <w:rFonts w:ascii="Calibri" w:hAnsi="Calibri"/>
                <w:sz w:val="22"/>
              </w:rPr>
              <w:t>Positive; ample liquidity buffer for lease obligations</w:t>
            </w:r>
          </w:p>
        </w:tc>
      </w:tr>
    </w:tbl>
    <w:p>
      <w:r>
        <w:rPr>
          <w:rFonts w:ascii="Calibri" w:hAnsi="Calibri"/>
          <w:b/>
          <w:color w:val="525866"/>
          <w:sz w:val="22"/>
        </w:rPr>
        <w:t>Key Caesars Q2 2026 Observations (Direct Tenant Read-Through):</w:t>
      </w:r>
    </w:p>
    <w:p>
      <w:pPr>
        <w:pStyle w:val="ListBullet"/>
        <w:ind w:left="360" w:hanging="360"/>
      </w:pPr>
      <w:r>
        <w:rPr>
          <w:rFonts w:ascii="Calibri" w:hAnsi="Calibri"/>
          <w:b/>
          <w:color w:val="525866"/>
          <w:sz w:val="22"/>
        </w:rPr>
        <w:t>Las Vegas softness is real but manageable:</w:t>
      </w:r>
      <w:r>
        <w:rPr>
          <w:rFonts w:ascii="Calibri" w:hAnsi="Calibri"/>
          <w:color w:val="525866"/>
          <w:sz w:val="22"/>
        </w:rPr>
        <w:t xml:space="preserve"> Las Vegas net revenue declined 3.5% YoY to $1,017M and Las Vegas Adjusted EBITDA fell 12.6% YoY to $410M in Q2 2026. While this is a negative optics read-through for VICI's Las Vegas Strip assets, VICI's rent is a fixed contractual obligation — Caesars' EBITDA would need to deteriorate dramatically and persistently before lease coverage becomes a concern. The Las Vegas EBITDA decline reflects promotional activity (value-oriented deals) and the competitive environment, not structural demand destruction.</w:t>
      </w:r>
    </w:p>
    <w:p>
      <w:pPr>
        <w:pStyle w:val="ListBullet"/>
        <w:ind w:left="360" w:hanging="360"/>
      </w:pPr>
      <w:r>
        <w:rPr>
          <w:rFonts w:ascii="Calibri" w:hAnsi="Calibri"/>
          <w:b/>
          <w:color w:val="525866"/>
          <w:sz w:val="22"/>
        </w:rPr>
        <w:t>Regional strength is a meaningful positive offset:</w:t>
      </w:r>
      <w:r>
        <w:rPr>
          <w:rFonts w:ascii="Calibri" w:hAnsi="Calibri"/>
          <w:color w:val="525866"/>
          <w:sz w:val="22"/>
        </w:rPr>
        <w:t xml:space="preserve"> Regional net revenue grew 9.4% YoY to $1,570M and regional Adjusted EBITDA grew 11.2% YoY to $488M, reflecting the benefits of CapEx investments in New Orleans, Lake Tahoe, and other regional assets. This directly supports rent coverage on the Caesars Regional Master Lease, which covers a large portion of VICI's Caesars-related rent.</w:t>
      </w:r>
    </w:p>
    <w:p>
      <w:pPr>
        <w:pStyle w:val="ListBullet"/>
        <w:ind w:left="360" w:hanging="360"/>
      </w:pPr>
      <w:r>
        <w:rPr>
          <w:rFonts w:ascii="Calibri" w:hAnsi="Calibri"/>
          <w:b/>
          <w:color w:val="525866"/>
          <w:sz w:val="22"/>
        </w:rPr>
        <w:t>No conference call — privatization overhang persists:</w:t>
      </w:r>
      <w:r>
        <w:rPr>
          <w:rFonts w:ascii="Calibri" w:hAnsi="Calibri"/>
          <w:color w:val="525866"/>
          <w:sz w:val="22"/>
        </w:rPr>
        <w:t xml:space="preserve"> Caesars explicitly stated it will not host a Q2 conference call due to the pending Fertitta Entertainment acquisition. This means no management commentary on Las Vegas trends, forward outlook, or lease strategy is available. The absence of a call removes a key information source for VICI investors and keeps the privatization uncertainty elevated heading into VICI's own earnings call.</w:t>
      </w:r>
    </w:p>
    <w:p>
      <w:pPr>
        <w:pStyle w:val="ListBullet"/>
        <w:ind w:left="360" w:hanging="360"/>
      </w:pPr>
      <w:r>
        <w:rPr>
          <w:rFonts w:ascii="Calibri" w:hAnsi="Calibri"/>
          <w:b/>
          <w:color w:val="525866"/>
          <w:sz w:val="22"/>
        </w:rPr>
        <w:t>Balance sheet improving:</w:t>
      </w:r>
      <w:r>
        <w:rPr>
          <w:rFonts w:ascii="Calibri" w:hAnsi="Calibri"/>
          <w:color w:val="525866"/>
          <w:sz w:val="22"/>
        </w:rPr>
        <w:t xml:space="preserve"> Net debt declined to $10,842M (from $11,018M at Dec 2025) and available liquidity stands at $2,928M, providing a strong buffer for lease obligations. The net loss attributable to Caesars improved to $62M from $82M in Q2 2025, indicating a gradually improving bottom line despite Las Vegas headwinds.</w:t>
      </w:r>
    </w:p>
    <w:p>
      <w:pPr>
        <w:pStyle w:val="Heading3"/>
      </w:pPr>
      <w:r>
        <w:rPr>
          <w:rFonts w:ascii="Calibri" w:hAnsi="Calibri"/>
          <w:b/>
          <w:color w:val="3B4259"/>
          <w:sz w:val="24"/>
        </w:rPr>
        <w:t>B. MGM Resorts / BetMGM (MGM) — Direct Tenant Read-Through (Q2 2026 BetMGM Business Update, July 28, 2026)</w:t>
      </w:r>
    </w:p>
    <w:p>
      <w:r>
        <w:rPr>
          <w:rFonts w:ascii="Calibri" w:hAnsi="Calibri"/>
          <w:b/>
          <w:color w:val="525866"/>
          <w:sz w:val="22"/>
        </w:rPr>
        <w:t xml:space="preserve">Relevance: </w:t>
      </w:r>
      <w:r>
        <w:rPr>
          <w:rFonts w:ascii="Calibri" w:hAnsi="Calibri"/>
          <w:color w:val="525866"/>
          <w:sz w:val="22"/>
        </w:rPr>
        <w:t>MGM Resorts operates under VICI's MGM Master Lease (covering MGM Grand, Mandalay Bay, and other properties). The BetMGM Q2 2026 Business Update provides current-quarter commentary on MGM's digital business and Las Vegas market conditions.</w:t>
      </w:r>
    </w:p>
    <w:p>
      <w:pPr>
        <w:pStyle w:val="ListBullet"/>
        <w:ind w:left="360" w:hanging="360"/>
      </w:pPr>
      <w:r>
        <w:rPr>
          <w:rFonts w:ascii="Calibri" w:hAnsi="Calibri"/>
          <w:b/>
          <w:color w:val="525866"/>
          <w:sz w:val="22"/>
        </w:rPr>
        <w:t>Nevada/Las Vegas engagement remains strong:</w:t>
      </w:r>
      <w:r>
        <w:rPr>
          <w:rFonts w:ascii="Calibri" w:hAnsi="Calibri"/>
          <w:color w:val="525866"/>
          <w:sz w:val="22"/>
        </w:rPr>
        <w:t xml:space="preserve"> BetMGM CEO Adam Greenblatt stated that "Nevada is central to MGM strategy" and that BetMGM "recruits thousands of players on a weekly basis in MGM properties." Online Sports Betting handle in Nevada increased 10% YoY during the first half of 2026, benefiting from the omnichannel proposition. Las Vegas is described as "part of the experience" and a "reward mechanism" for BetMGM's customer base. Read-through: Sustained engagement with MGM's physical Las Vegas assets supports the revenue generation capacity of VICI's largest Strip tenant.</w:t>
      </w:r>
    </w:p>
    <w:p>
      <w:pPr>
        <w:pStyle w:val="ListBullet"/>
        <w:ind w:left="360" w:hanging="360"/>
      </w:pPr>
      <w:r>
        <w:rPr>
          <w:rFonts w:ascii="Calibri" w:hAnsi="Calibri"/>
          <w:b/>
          <w:color w:val="525866"/>
          <w:sz w:val="22"/>
        </w:rPr>
        <w:t>BetMGM Q2 2026 financials: net revenue $711M (+3% YoY), Adjusted EBITDA $74M.</w:t>
      </w:r>
      <w:r>
        <w:rPr>
          <w:rFonts w:ascii="Calibri" w:hAnsi="Calibri"/>
          <w:color w:val="525866"/>
          <w:sz w:val="22"/>
        </w:rPr>
        <w:t xml:space="preserve"> BetMGM maintained full-year 2026 guidance of $2.9–$3.1B net revenue and $300–$350M Adjusted EBITDA, albeit now expected toward the lower end of the range. Cash to parents (EBITDA less CapEx) was $77M for H1 2026, with H2 expected to be higher. Read-through: BetMGM's profitability and cash generation to MGM Resorts is a positive for the overall financial health of VICI's largest tenant.</w:t>
      </w:r>
    </w:p>
    <w:p>
      <w:pPr>
        <w:pStyle w:val="ListBullet"/>
        <w:ind w:left="360" w:hanging="360"/>
      </w:pPr>
      <w:r>
        <w:rPr>
          <w:rFonts w:ascii="Calibri" w:hAnsi="Calibri"/>
          <w:b/>
          <w:color w:val="525866"/>
          <w:sz w:val="22"/>
        </w:rPr>
        <w:t>Macro headwind acknowledged:</w:t>
      </w:r>
      <w:r>
        <w:rPr>
          <w:rFonts w:ascii="Calibri" w:hAnsi="Calibri"/>
          <w:color w:val="525866"/>
          <w:sz w:val="22"/>
        </w:rPr>
        <w:t xml:space="preserve"> BetMGM CEO noted that "gas prices" and "consumer discretionary income" are headwinds, though the specific impact on physical casino visitation was not quantified. The migration of lower-rated players to digital is creating retail margin volatility. Read-through: Modest negative for physical casino revenue trends, but high-value players remain in retail and the business remains profitable.</w:t>
      </w:r>
    </w:p>
    <w:p>
      <w:pPr>
        <w:pStyle w:val="ListBullet"/>
        <w:ind w:left="360" w:hanging="360"/>
      </w:pPr>
      <w:r>
        <w:rPr>
          <w:rFonts w:ascii="Calibri" w:hAnsi="Calibri"/>
          <w:b/>
          <w:color w:val="525866"/>
          <w:sz w:val="22"/>
        </w:rPr>
        <w:t>World Cup drove record handle:</w:t>
      </w:r>
      <w:r>
        <w:rPr>
          <w:rFonts w:ascii="Calibri" w:hAnsi="Calibri"/>
          <w:color w:val="525866"/>
          <w:sz w:val="22"/>
        </w:rPr>
        <w:t xml:space="preserve"> BetMGM saw "three times the handle in 2026 that we saw in 2022" for the World Cup, with the tournament becoming a major engagement driver. Read-through: Positive for MGM's overall brand and customer engagement, supporting the long-term health of the physical casino ecosystem.</w:t>
      </w:r>
    </w:p>
    <w:p>
      <w:pPr>
        <w:pStyle w:val="Heading3"/>
      </w:pPr>
      <w:r>
        <w:rPr>
          <w:rFonts w:ascii="Calibri" w:hAnsi="Calibri"/>
          <w:b/>
          <w:color w:val="3B4259"/>
          <w:sz w:val="24"/>
        </w:rPr>
        <w:t>C. Las Vegas Sands (LVS) — Indirect Read-Through (Q2 2026 Results, July 22, 2026)</w:t>
      </w:r>
    </w:p>
    <w:p>
      <w:r>
        <w:rPr>
          <w:rFonts w:ascii="Calibri" w:hAnsi="Calibri"/>
          <w:b/>
          <w:color w:val="525866"/>
          <w:sz w:val="22"/>
        </w:rPr>
        <w:t xml:space="preserve">Relevance: </w:t>
      </w:r>
      <w:r>
        <w:rPr>
          <w:rFonts w:ascii="Calibri" w:hAnsi="Calibri"/>
          <w:color w:val="525866"/>
          <w:sz w:val="22"/>
        </w:rPr>
        <w:t xml:space="preserve">LVS is not a VICI tenant and has no US casino operations (divested Las Vegas assets; received $1.26B loan repayment in May 2026). LVS results are an </w:t>
      </w:r>
      <w:r>
        <w:rPr>
          <w:rFonts w:ascii="Calibri" w:hAnsi="Calibri"/>
          <w:b/>
          <w:i/>
          <w:color w:val="525866"/>
          <w:sz w:val="22"/>
        </w:rPr>
        <w:t>indirect</w:t>
      </w:r>
      <w:r>
        <w:rPr>
          <w:rFonts w:ascii="Calibri" w:hAnsi="Calibri"/>
          <w:color w:val="525866"/>
          <w:sz w:val="22"/>
        </w:rPr>
        <w:t xml:space="preserve"> read-through only — they signal global integrated resort demand trends and operator financial health, but do not directly inform VICI's US tenant performance. Included for completeness; weight accordingly.</w:t>
      </w:r>
    </w:p>
    <w:p>
      <w:pPr>
        <w:pStyle w:val="ListBullet"/>
        <w:ind w:left="360" w:hanging="360"/>
      </w:pPr>
      <w:r>
        <w:rPr>
          <w:rFonts w:ascii="Calibri" w:hAnsi="Calibri"/>
          <w:b/>
          <w:color w:val="525866"/>
          <w:sz w:val="22"/>
        </w:rPr>
        <w:t>Strong gaming volumes despite hold headwind:</w:t>
      </w:r>
      <w:r>
        <w:rPr>
          <w:rFonts w:ascii="Calibri" w:hAnsi="Calibri"/>
          <w:color w:val="525866"/>
          <w:sz w:val="22"/>
        </w:rPr>
        <w:t xml:space="preserve"> LVS reported strong volume growth across Macao properties (rolling volume +73% YoY, non-rolling drop +15% YoY, slot handle +30% YoY) despite an "unusually low hold" in rolling play that CEO Patrick Dumont called "the largest hold adjustment we've ever had in the history of Macau." Marina Bay Sands generated EBITDA of $689M. Read-through (indirect): Robust underlying gaming demand globally is a positive signal for the integrated resort sector broadly, though LVS's Asia-focused results have limited direct read-through to VICI's US tenants.</w:t>
      </w:r>
    </w:p>
    <w:p>
      <w:pPr>
        <w:pStyle w:val="ListBullet"/>
        <w:ind w:left="360" w:hanging="360"/>
      </w:pPr>
      <w:r>
        <w:rPr>
          <w:rFonts w:ascii="Calibri" w:hAnsi="Calibri"/>
          <w:b/>
          <w:color w:val="525866"/>
          <w:sz w:val="22"/>
        </w:rPr>
        <w:t>World Cup reduced high-value patron visitation in June:</w:t>
      </w:r>
      <w:r>
        <w:rPr>
          <w:rFonts w:ascii="Calibri" w:hAnsi="Calibri"/>
          <w:color w:val="525866"/>
          <w:sz w:val="22"/>
        </w:rPr>
        <w:t xml:space="preserve"> LVS noted a "very noticeable" decrease in high-value patron visitation to both MBS and Macao in June due to the World Cup, with May being an "all-time high" for Sands China in monthly mass GGR. Read-through (indirect): The World Cup's impact on premium gaming visitation is a global phenomenon; US Strip operators (VICI's tenants) may have experienced similar June softness, though BetMGM's World Cup handle data suggests the tournament drove engagement rather than diversion in the US context.</w:t>
      </w:r>
    </w:p>
    <w:p>
      <w:pPr>
        <w:pStyle w:val="ListBullet"/>
        <w:ind w:left="360" w:hanging="360"/>
      </w:pPr>
      <w:r>
        <w:rPr>
          <w:rFonts w:ascii="Calibri" w:hAnsi="Calibri"/>
          <w:b/>
          <w:color w:val="525866"/>
          <w:sz w:val="22"/>
        </w:rPr>
        <w:t>Strong liquidity and capital returns:</w:t>
      </w:r>
      <w:r>
        <w:rPr>
          <w:rFonts w:ascii="Calibri" w:hAnsi="Calibri"/>
          <w:color w:val="525866"/>
          <w:sz w:val="22"/>
        </w:rPr>
        <w:t xml:space="preserve"> LVS repurchased $787M of stock in Q2 and the board authorized a new $6B repurchase program. Unrestricted cash of $3.38B and $4.26B in revolving credit availability. Read-through (indirect): Major gaming operators globally are generating strong cash flows and returning capital, signaling a healthy industry environment that is broadly supportive of VICI's tenant base.</w:t>
      </w:r>
    </w:p>
    <w:p>
      <w:pPr>
        <w:pStyle w:val="ListBullet"/>
        <w:ind w:left="360" w:hanging="360"/>
      </w:pPr>
      <w:r>
        <w:rPr>
          <w:rFonts w:ascii="Calibri" w:hAnsi="Calibri"/>
          <w:b/>
          <w:color w:val="525866"/>
          <w:sz w:val="22"/>
        </w:rPr>
        <w:t>H2 2026 event calendar looks strong:</w:t>
      </w:r>
      <w:r>
        <w:rPr>
          <w:rFonts w:ascii="Calibri" w:hAnsi="Calibri"/>
          <w:color w:val="525866"/>
          <w:sz w:val="22"/>
        </w:rPr>
        <w:t xml:space="preserve"> LVS noted a "very strong" H2 event lineup for Macao, building into August/September and culminating in NBA games in October. Read-through (indirect): Strong event-driven demand in H2 is a positive signal for the broader gaming and entertainment sector, consistent with VICI's Las Vegas Strip tenants' own event calendars (A's Stadium construction, NBA Las Vegas franchise pursuit, WWE events).</w:t>
      </w:r>
    </w:p>
    <w:p>
      <w:pPr>
        <w:pStyle w:val="Heading3"/>
      </w:pPr>
      <w:r>
        <w:rPr>
          <w:rFonts w:ascii="Calibri" w:hAnsi="Calibri"/>
          <w:b/>
          <w:color w:val="3B4259"/>
          <w:sz w:val="24"/>
        </w:rPr>
        <w:t>D. Boyd Gaming (BYD) — Direct Regional Read-Through (Q2 2026 Results, July 23, 2026)</w:t>
      </w:r>
    </w:p>
    <w:p>
      <w:r>
        <w:rPr>
          <w:rFonts w:ascii="Calibri" w:hAnsi="Calibri"/>
          <w:b/>
          <w:color w:val="525866"/>
          <w:sz w:val="22"/>
        </w:rPr>
        <w:t xml:space="preserve">Relevance: </w:t>
      </w:r>
      <w:r>
        <w:rPr>
          <w:rFonts w:ascii="Calibri" w:hAnsi="Calibri"/>
          <w:color w:val="525866"/>
          <w:sz w:val="22"/>
        </w:rPr>
        <w:t>Boyd Gaming is not a VICI tenant but operates in many of the same regional markets as VICI's tenants (Caesars, MGM, Penn). Boyd's Q2 2026 results provide a direct read-through on US regional gaming demand conditions in the current quarter.</w:t>
      </w:r>
    </w:p>
    <w:p>
      <w:pPr>
        <w:pStyle w:val="ListBullet"/>
        <w:ind w:left="360" w:hanging="360"/>
      </w:pPr>
      <w:r>
        <w:rPr>
          <w:rFonts w:ascii="Calibri" w:hAnsi="Calibri"/>
          <w:b/>
          <w:color w:val="525866"/>
          <w:sz w:val="22"/>
        </w:rPr>
        <w:t>Boyd Q2 2026 results available (July 23, 2026):</w:t>
      </w:r>
      <w:r>
        <w:rPr>
          <w:rFonts w:ascii="Calibri" w:hAnsi="Calibri"/>
          <w:color w:val="525866"/>
          <w:sz w:val="22"/>
        </w:rPr>
        <w:t xml:space="preserve"> Boyd Gaming reported Q2 2026 earnings on July 23, 2026. While the full transcript was not available in the research database, the filing confirms Q2 2026 results are in the public domain. The Caesars regional data (+9.4% revenue, +11.2% EBITDA YoY) is the more directly relevant regional read-through for VICI's tenant base. Read-through: Regional gaming demand appears healthy based on Caesars' regional results, which is the most directly relevant data point for VICI's regional portfolio.</w:t>
      </w:r>
    </w:p>
    <w:p>
      <w:pPr>
        <w:pStyle w:val="Heading3"/>
      </w:pPr>
      <w:r>
        <w:rPr>
          <w:rFonts w:ascii="Calibri" w:hAnsi="Calibri"/>
          <w:b/>
          <w:color w:val="3B4259"/>
          <w:sz w:val="24"/>
        </w:rPr>
        <w:t>E. Hilton Worldwide (HLT) — Indirect Hospitality Read-Through (Q2 2026 Results, July 28, 2026)</w:t>
      </w:r>
    </w:p>
    <w:p>
      <w:r>
        <w:rPr>
          <w:rFonts w:ascii="Calibri" w:hAnsi="Calibri"/>
          <w:b/>
          <w:color w:val="525866"/>
          <w:sz w:val="22"/>
        </w:rPr>
        <w:t xml:space="preserve">Relevance: </w:t>
      </w:r>
      <w:r>
        <w:rPr>
          <w:rFonts w:ascii="Calibri" w:hAnsi="Calibri"/>
          <w:color w:val="525866"/>
          <w:sz w:val="22"/>
        </w:rPr>
        <w:t>Hilton is not a VICI tenant but operates hotels in Las Vegas and other markets where VICI's tenants compete for hospitality demand. Hilton's Q2 2026 results provide an indirect read-through on broader US hospitality demand trends.</w:t>
      </w:r>
    </w:p>
    <w:p>
      <w:pPr>
        <w:pStyle w:val="ListBullet"/>
        <w:ind w:left="360" w:hanging="360"/>
      </w:pPr>
      <w:r>
        <w:rPr>
          <w:rFonts w:ascii="Calibri" w:hAnsi="Calibri"/>
          <w:b/>
          <w:color w:val="525866"/>
          <w:sz w:val="22"/>
        </w:rPr>
        <w:t>Hilton raised full-year RevPAR guidance to +3–3.5% (from +2–3%):</w:t>
      </w:r>
      <w:r>
        <w:rPr>
          <w:rFonts w:ascii="Calibri" w:hAnsi="Calibri"/>
          <w:color w:val="525866"/>
          <w:sz w:val="22"/>
        </w:rPr>
        <w:t xml:space="preserve"> Hilton reported Q2 2026 results with modest EPS and revenue upside, raising full-year RevPAR growth guidance to +3–3.5% (from prior +2–3%) and EBITDA guidance to $4.04–$4.08B (from $4.02–$4.06B). The company attributed improvement to strengthening demand trends and broad-based momentum. Read-through (indirect): Positive for Las Vegas hospitality demand broadly; stronger RevPAR growth signals healthy travel and lodging demand that benefits VICI's Strip tenants' hotel operations. Note: Hilton lowered net income guidance, which weighed on the stock (−3% pre-market), but the RevPAR raise is the more relevant signal for VICI.</w:t>
      </w:r>
    </w:p>
    <w:p>
      <w:pPr>
        <w:pStyle w:val="Heading3"/>
      </w:pPr>
      <w:r>
        <w:rPr>
          <w:rFonts w:ascii="Calibri" w:hAnsi="Calibri"/>
          <w:b/>
          <w:color w:val="3B4259"/>
          <w:sz w:val="24"/>
        </w:rPr>
        <w:t>F. MGM Privatization / Casino M&amp;A Backdrop — Sector Read-Through</w:t>
      </w:r>
    </w:p>
    <w:p>
      <w:pPr>
        <w:pStyle w:val="ListBullet"/>
        <w:ind w:left="360" w:hanging="360"/>
      </w:pPr>
      <w:r>
        <w:rPr>
          <w:rFonts w:ascii="Calibri" w:hAnsi="Calibri"/>
          <w:b/>
          <w:color w:val="525866"/>
          <w:sz w:val="22"/>
        </w:rPr>
        <w:t>July 13, 2026 — MGM Resorts evaluating $48.30/share acquisition offer from Barry Diller's People Inc.:</w:t>
      </w:r>
      <w:r>
        <w:rPr>
          <w:rFonts w:ascii="Calibri" w:hAnsi="Calibri"/>
          <w:color w:val="525866"/>
          <w:sz w:val="22"/>
        </w:rPr>
        <w:t xml:space="preserve"> MGM formed a special committee to consider the proposal. Combined with the Caesars/Fertitta deal, this represents a major wave of casino privatization. Read-through for VICI: The privatization wave is a double-edged sword — it validates the quality and value of gaming real estate assets (positive for VICI's portfolio), but introduces uncertainty around tenant relationships, future capital allocation, and public financial disclosure (negative for transparency). VICI's triple-net leases are contractually robust regardless of ownership structure, but the market is pricing in an uncertainty premium.</w:t>
      </w:r>
    </w:p>
    <w:p>
      <w:pPr>
        <w:pStyle w:val="ListBullet"/>
        <w:ind w:left="360" w:hanging="360"/>
      </w:pPr>
      <w:r>
        <w:rPr>
          <w:rFonts w:ascii="Calibri" w:hAnsi="Calibri"/>
          <w:b/>
          <w:color w:val="525866"/>
          <w:sz w:val="22"/>
        </w:rPr>
        <w:t>June 1, 2026 — Barron's: "Private owners are making multi-billion dollar bids for MGM and Caesars":</w:t>
      </w:r>
      <w:r>
        <w:rPr>
          <w:rFonts w:ascii="Calibri" w:hAnsi="Calibri"/>
          <w:color w:val="525866"/>
          <w:sz w:val="22"/>
        </w:rPr>
        <w:t xml:space="preserve"> The article noted a major shift as casino giants move from public to private hands, signaling strong private equity conviction in the long-term value of gaming real estate. Read-through for VICI: Validates VICI's asset quality thesis; private buyers are effectively underwriting the same real estate that VICI owns at premium valuations.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Relevance to VICI</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Read-Through Direction</w:t>
            </w:r>
          </w:p>
        </w:tc>
        <w:tc>
          <w:tcPr>
            <w:tcW w:type="dxa" w:w="1728"/>
            <w:shd w:val="clear" w:color="auto" w:fill="3B4259"/>
          </w:tcPr>
          <w:p>
            <w:r>
              <w:rPr>
                <w:rFonts w:ascii="Calibri" w:hAnsi="Calibri"/>
                <w:b/>
                <w:color w:val="FFFFFF"/>
                <w:sz w:val="22"/>
              </w:rPr>
              <w:t>AFFO Impact</w:t>
            </w:r>
          </w:p>
        </w:tc>
      </w:tr>
      <w:tr>
        <w:tc>
          <w:tcPr>
            <w:tcW w:type="dxa" w:w="1728"/>
          </w:tcPr>
          <w:p>
            <w:r>
              <w:rPr>
                <w:rFonts w:ascii="Calibri" w:hAnsi="Calibri"/>
                <w:sz w:val="22"/>
              </w:rPr>
              <w:t>Caesars (CZR)</w:t>
            </w:r>
          </w:p>
        </w:tc>
        <w:tc>
          <w:tcPr>
            <w:tcW w:type="dxa" w:w="1728"/>
          </w:tcPr>
          <w:p>
            <w:r>
              <w:rPr>
                <w:rFonts w:ascii="Calibri" w:hAnsi="Calibri"/>
                <w:sz w:val="22"/>
              </w:rPr>
              <w:t>Direct — Largest Tenant</w:t>
            </w:r>
          </w:p>
        </w:tc>
        <w:tc>
          <w:tcPr>
            <w:tcW w:type="dxa" w:w="1728"/>
          </w:tcPr>
          <w:p>
            <w:r>
              <w:rPr>
                <w:rFonts w:ascii="Calibri" w:hAnsi="Calibri"/>
                <w:sz w:val="22"/>
              </w:rPr>
              <w:t>LV EBITDA −12.6% YoY; Regional EBITDA +11.2% YoY; Net debt declining; No conf. call (privatization)</w:t>
            </w:r>
          </w:p>
        </w:tc>
        <w:tc>
          <w:tcPr>
            <w:tcW w:type="dxa" w:w="1728"/>
          </w:tcPr>
          <w:p>
            <w:r>
              <w:rPr>
                <w:rFonts w:ascii="Calibri" w:hAnsi="Calibri"/>
                <w:b/>
                <w:sz w:val="22"/>
              </w:rPr>
              <w:t>Mixed</w:t>
            </w:r>
          </w:p>
        </w:tc>
        <w:tc>
          <w:tcPr>
            <w:tcW w:type="dxa" w:w="1728"/>
          </w:tcPr>
          <w:p>
            <w:r>
              <w:rPr>
                <w:rFonts w:ascii="Calibri" w:hAnsi="Calibri"/>
                <w:sz w:val="22"/>
              </w:rPr>
              <w:t>None (fixed rent)</w:t>
            </w:r>
          </w:p>
        </w:tc>
      </w:tr>
      <w:tr>
        <w:tc>
          <w:tcPr>
            <w:tcW w:type="dxa" w:w="1728"/>
          </w:tcPr>
          <w:p>
            <w:r>
              <w:rPr>
                <w:rFonts w:ascii="Calibri" w:hAnsi="Calibri"/>
                <w:sz w:val="22"/>
              </w:rPr>
              <w:t>MGM / BetMGM</w:t>
            </w:r>
          </w:p>
        </w:tc>
        <w:tc>
          <w:tcPr>
            <w:tcW w:type="dxa" w:w="1728"/>
          </w:tcPr>
          <w:p>
            <w:r>
              <w:rPr>
                <w:rFonts w:ascii="Calibri" w:hAnsi="Calibri"/>
                <w:sz w:val="22"/>
              </w:rPr>
              <w:t>Direct — Major Tenant (MGM Master Lease)</w:t>
            </w:r>
          </w:p>
        </w:tc>
        <w:tc>
          <w:tcPr>
            <w:tcW w:type="dxa" w:w="1728"/>
          </w:tcPr>
          <w:p>
            <w:r>
              <w:rPr>
                <w:rFonts w:ascii="Calibri" w:hAnsi="Calibri"/>
                <w:sz w:val="22"/>
              </w:rPr>
              <w:t>BetMGM Q2 EBITDA $74M; NV OSB handle +10% YoY H1; guidance maintained (low end); World Cup record handle</w:t>
            </w:r>
          </w:p>
        </w:tc>
        <w:tc>
          <w:tcPr>
            <w:tcW w:type="dxa" w:w="1728"/>
          </w:tcPr>
          <w:p>
            <w:r>
              <w:rPr>
                <w:rFonts w:ascii="Calibri" w:hAnsi="Calibri"/>
                <w:b/>
                <w:color w:val="30A46C"/>
                <w:sz w:val="22"/>
              </w:rPr>
              <w:t>Positive</w:t>
            </w:r>
          </w:p>
        </w:tc>
        <w:tc>
          <w:tcPr>
            <w:tcW w:type="dxa" w:w="1728"/>
          </w:tcPr>
          <w:p>
            <w:r>
              <w:rPr>
                <w:rFonts w:ascii="Calibri" w:hAnsi="Calibri"/>
                <w:sz w:val="22"/>
              </w:rPr>
              <w:t>None (fixed rent)</w:t>
            </w:r>
          </w:p>
        </w:tc>
      </w:tr>
      <w:tr>
        <w:tc>
          <w:tcPr>
            <w:tcW w:type="dxa" w:w="1728"/>
          </w:tcPr>
          <w:p>
            <w:r>
              <w:rPr>
                <w:rFonts w:ascii="Calibri" w:hAnsi="Calibri"/>
                <w:sz w:val="22"/>
              </w:rPr>
              <w:t>Las Vegas Sands (LVS)</w:t>
            </w:r>
          </w:p>
        </w:tc>
        <w:tc>
          <w:tcPr>
            <w:tcW w:type="dxa" w:w="1728"/>
          </w:tcPr>
          <w:p>
            <w:r>
              <w:rPr>
                <w:rFonts w:ascii="Calibri" w:hAnsi="Calibri"/>
                <w:sz w:val="22"/>
              </w:rPr>
              <w:t>Indirect — No US Operations</w:t>
            </w:r>
          </w:p>
        </w:tc>
        <w:tc>
          <w:tcPr>
            <w:tcW w:type="dxa" w:w="1728"/>
          </w:tcPr>
          <w:p>
            <w:r>
              <w:rPr>
                <w:rFonts w:ascii="Calibri" w:hAnsi="Calibri"/>
                <w:sz w:val="22"/>
              </w:rPr>
              <w:t>Strong volumes; low hold headwind; World Cup reduced June visitation; strong H2 event calendar</w:t>
            </w:r>
          </w:p>
        </w:tc>
        <w:tc>
          <w:tcPr>
            <w:tcW w:type="dxa" w:w="1728"/>
          </w:tcPr>
          <w:p>
            <w:r>
              <w:rPr>
                <w:rFonts w:ascii="Calibri" w:hAnsi="Calibri"/>
                <w:b/>
                <w:color w:val="30A46C"/>
                <w:sz w:val="22"/>
              </w:rPr>
              <w:t>Indirect Positive</w:t>
            </w:r>
          </w:p>
        </w:tc>
        <w:tc>
          <w:tcPr>
            <w:tcW w:type="dxa" w:w="1728"/>
          </w:tcPr>
          <w:p>
            <w:r>
              <w:rPr>
                <w:rFonts w:ascii="Calibri" w:hAnsi="Calibri"/>
                <w:sz w:val="22"/>
              </w:rPr>
              <w:t>None</w:t>
            </w:r>
          </w:p>
        </w:tc>
      </w:tr>
      <w:tr>
        <w:tc>
          <w:tcPr>
            <w:tcW w:type="dxa" w:w="1728"/>
          </w:tcPr>
          <w:p>
            <w:r>
              <w:rPr>
                <w:rFonts w:ascii="Calibri" w:hAnsi="Calibri"/>
                <w:sz w:val="22"/>
              </w:rPr>
              <w:t>Boyd Gaming (BYD)</w:t>
            </w:r>
          </w:p>
        </w:tc>
        <w:tc>
          <w:tcPr>
            <w:tcW w:type="dxa" w:w="1728"/>
          </w:tcPr>
          <w:p>
            <w:r>
              <w:rPr>
                <w:rFonts w:ascii="Calibri" w:hAnsi="Calibri"/>
                <w:sz w:val="22"/>
              </w:rPr>
              <w:t>Indirect — Regional Competitor</w:t>
            </w:r>
          </w:p>
        </w:tc>
        <w:tc>
          <w:tcPr>
            <w:tcW w:type="dxa" w:w="1728"/>
          </w:tcPr>
          <w:p>
            <w:r>
              <w:rPr>
                <w:rFonts w:ascii="Calibri" w:hAnsi="Calibri"/>
                <w:sz w:val="22"/>
              </w:rPr>
              <w:t>Q2 2026 results filed July 23; Caesars regional data (+9.4% rev) is more directly relevant</w:t>
            </w:r>
          </w:p>
        </w:tc>
        <w:tc>
          <w:tcPr>
            <w:tcW w:type="dxa" w:w="1728"/>
          </w:tcPr>
          <w:p>
            <w:r>
              <w:rPr>
                <w:rFonts w:ascii="Calibri" w:hAnsi="Calibri"/>
                <w:b/>
                <w:color w:val="30A46C"/>
                <w:sz w:val="22"/>
              </w:rPr>
              <w:t>Neutral / Positive</w:t>
            </w:r>
          </w:p>
        </w:tc>
        <w:tc>
          <w:tcPr>
            <w:tcW w:type="dxa" w:w="1728"/>
          </w:tcPr>
          <w:p>
            <w:r>
              <w:rPr>
                <w:rFonts w:ascii="Calibri" w:hAnsi="Calibri"/>
                <w:sz w:val="22"/>
              </w:rPr>
              <w:t>None</w:t>
            </w:r>
          </w:p>
        </w:tc>
      </w:tr>
      <w:tr>
        <w:tc>
          <w:tcPr>
            <w:tcW w:type="dxa" w:w="1728"/>
          </w:tcPr>
          <w:p>
            <w:r>
              <w:rPr>
                <w:rFonts w:ascii="Calibri" w:hAnsi="Calibri"/>
                <w:sz w:val="22"/>
              </w:rPr>
              <w:t>Hilton (HLT)</w:t>
            </w:r>
          </w:p>
        </w:tc>
        <w:tc>
          <w:tcPr>
            <w:tcW w:type="dxa" w:w="1728"/>
          </w:tcPr>
          <w:p>
            <w:r>
              <w:rPr>
                <w:rFonts w:ascii="Calibri" w:hAnsi="Calibri"/>
                <w:sz w:val="22"/>
              </w:rPr>
              <w:t>Indirect — Hospitality Demand Signal</w:t>
            </w:r>
          </w:p>
        </w:tc>
        <w:tc>
          <w:tcPr>
            <w:tcW w:type="dxa" w:w="1728"/>
          </w:tcPr>
          <w:p>
            <w:r>
              <w:rPr>
                <w:rFonts w:ascii="Calibri" w:hAnsi="Calibri"/>
                <w:sz w:val="22"/>
              </w:rPr>
              <w:t>FY RevPAR guidance raised to +3–3.5%; broad-based demand momentum</w:t>
            </w:r>
          </w:p>
        </w:tc>
        <w:tc>
          <w:tcPr>
            <w:tcW w:type="dxa" w:w="1728"/>
          </w:tcPr>
          <w:p>
            <w:r>
              <w:rPr>
                <w:rFonts w:ascii="Calibri" w:hAnsi="Calibri"/>
                <w:b/>
                <w:color w:val="30A46C"/>
                <w:sz w:val="22"/>
              </w:rPr>
              <w:t>Indirect Positive</w:t>
            </w:r>
          </w:p>
        </w:tc>
        <w:tc>
          <w:tcPr>
            <w:tcW w:type="dxa" w:w="1728"/>
          </w:tcPr>
          <w:p>
            <w:r>
              <w:rPr>
                <w:rFonts w:ascii="Calibri" w:hAnsi="Calibri"/>
                <w:sz w:val="22"/>
              </w:rPr>
              <w:t>None</w:t>
            </w:r>
          </w:p>
        </w:tc>
      </w:tr>
      <w:tr>
        <w:tc>
          <w:tcPr>
            <w:tcW w:type="dxa" w:w="1728"/>
          </w:tcPr>
          <w:p>
            <w:r>
              <w:rPr>
                <w:rFonts w:ascii="Calibri" w:hAnsi="Calibri"/>
                <w:sz w:val="22"/>
              </w:rPr>
              <w:t>MGM / Caesars Privatization Wave</w:t>
            </w:r>
          </w:p>
        </w:tc>
        <w:tc>
          <w:tcPr>
            <w:tcW w:type="dxa" w:w="1728"/>
          </w:tcPr>
          <w:p>
            <w:r>
              <w:rPr>
                <w:rFonts w:ascii="Calibri" w:hAnsi="Calibri"/>
                <w:sz w:val="22"/>
              </w:rPr>
              <w:t>Sector — Tenant Ownership Change</w:t>
            </w:r>
          </w:p>
        </w:tc>
        <w:tc>
          <w:tcPr>
            <w:tcW w:type="dxa" w:w="1728"/>
          </w:tcPr>
          <w:p>
            <w:r>
              <w:rPr>
                <w:rFonts w:ascii="Calibri" w:hAnsi="Calibri"/>
                <w:sz w:val="22"/>
              </w:rPr>
              <w:t>Validates gaming real estate value; introduces transparency/uncertainty risk for VICI's two largest tenants</w:t>
            </w:r>
          </w:p>
        </w:tc>
        <w:tc>
          <w:tcPr>
            <w:tcW w:type="dxa" w:w="1728"/>
          </w:tcPr>
          <w:p>
            <w:r>
              <w:rPr>
                <w:rFonts w:ascii="Calibri" w:hAnsi="Calibri"/>
                <w:b/>
                <w:sz w:val="22"/>
              </w:rPr>
              <w:t>Mixed</w:t>
            </w:r>
          </w:p>
        </w:tc>
        <w:tc>
          <w:tcPr>
            <w:tcW w:type="dxa" w:w="1728"/>
          </w:tcPr>
          <w:p>
            <w:r>
              <w:rPr>
                <w:rFonts w:ascii="Calibri" w:hAnsi="Calibri"/>
                <w:sz w:val="22"/>
              </w:rPr>
              <w:t>None (leases contractually robust)</w:t>
            </w:r>
          </w:p>
        </w:tc>
      </w:tr>
    </w:tbl>
    <w:p>
      <w:r>
        <w:rPr>
          <w:rFonts w:ascii="Calibri" w:hAnsi="Calibri"/>
          <w:b/>
          <w:color w:val="525866"/>
          <w:sz w:val="22"/>
        </w:rPr>
        <w:t>Important Note on Peer Read-Through Scope:</w:t>
      </w:r>
      <w:r>
        <w:rPr>
          <w:rFonts w:ascii="Calibri" w:hAnsi="Calibri"/>
          <w:color w:val="525866"/>
          <w:sz w:val="22"/>
        </w:rPr>
        <w:t xml:space="preserve"> All peer commentary above pertains exclusively to Q2 2026 current-quarter conditions or forward-looking statements made after each peer's prior earnings report. Backward-looking commentary about Q1 2026 or prior-period results has been excluded. LVS and Hilton are flagged as indirect read-throughs given they are not VICI tenants; their signals are informative for sector demand trends but should not be weighted equally with direct tenant data from Caesars and MGM.</w:t>
      </w:r>
    </w:p>
    <w:p>
      <w:r>
        <w:br w:type="page"/>
      </w:r>
    </w:p>
    <w:p>
      <w:pPr>
        <w:pStyle w:val="Heading2"/>
      </w:pPr>
      <w:r>
        <w:rPr>
          <w:rFonts w:ascii="Calibri" w:hAnsi="Calibri"/>
          <w:b/>
          <w:color w:val="3B4259"/>
          <w:sz w:val="28"/>
        </w:rPr>
        <w:t>Appendix: Key Metrics Reference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Source / Note</w:t>
            </w:r>
          </w:p>
        </w:tc>
      </w:tr>
      <w:tr>
        <w:tc>
          <w:tcPr>
            <w:tcW w:type="dxa" w:w="2880"/>
          </w:tcPr>
          <w:p>
            <w:r>
              <w:rPr>
                <w:rFonts w:ascii="Calibri" w:hAnsi="Calibri"/>
                <w:sz w:val="22"/>
              </w:rPr>
              <w:t>VICI Stock Price (Jul 29, 2026)</w:t>
            </w:r>
          </w:p>
        </w:tc>
        <w:tc>
          <w:tcPr>
            <w:tcW w:type="dxa" w:w="2880"/>
          </w:tcPr>
          <w:p>
            <w:r>
              <w:rPr>
                <w:rFonts w:ascii="Calibri" w:hAnsi="Calibri"/>
                <w:sz w:val="22"/>
              </w:rPr>
              <w:t>$27.10</w:t>
            </w:r>
          </w:p>
        </w:tc>
        <w:tc>
          <w:tcPr>
            <w:tcW w:type="dxa" w:w="2880"/>
          </w:tcPr>
          <w:p>
            <w:r>
              <w:rPr>
                <w:rFonts w:ascii="Calibri" w:hAnsi="Calibri"/>
                <w:sz w:val="22"/>
              </w:rPr>
              <w:t>Yahoo Finance / Stock Price Data</w:t>
            </w:r>
          </w:p>
        </w:tc>
      </w:tr>
      <w:tr>
        <w:tc>
          <w:tcPr>
            <w:tcW w:type="dxa" w:w="2880"/>
          </w:tcPr>
          <w:p>
            <w:r>
              <w:rPr>
                <w:rFonts w:ascii="Calibri" w:hAnsi="Calibri"/>
                <w:sz w:val="22"/>
              </w:rPr>
              <w:t>NTM EV/EBITDA</w:t>
            </w:r>
          </w:p>
        </w:tc>
        <w:tc>
          <w:tcPr>
            <w:tcW w:type="dxa" w:w="2880"/>
          </w:tcPr>
          <w:p>
            <w:r>
              <w:rPr>
                <w:rFonts w:ascii="Calibri" w:hAnsi="Calibri"/>
                <w:sz w:val="22"/>
              </w:rPr>
              <w:t>12.7x</w:t>
            </w:r>
          </w:p>
        </w:tc>
        <w:tc>
          <w:tcPr>
            <w:tcW w:type="dxa" w:w="2880"/>
          </w:tcPr>
          <w:p>
            <w:r>
              <w:rPr>
                <w:rFonts w:ascii="Calibri" w:hAnsi="Calibri"/>
                <w:sz w:val="22"/>
              </w:rPr>
              <w:t>Stock Performance Decomposition (Jul 28, 2026)</w:t>
            </w:r>
          </w:p>
        </w:tc>
      </w:tr>
      <w:tr>
        <w:tc>
          <w:tcPr>
            <w:tcW w:type="dxa" w:w="2880"/>
          </w:tcPr>
          <w:p>
            <w:r>
              <w:rPr>
                <w:rFonts w:ascii="Calibri" w:hAnsi="Calibri"/>
                <w:sz w:val="22"/>
              </w:rPr>
              <w:t>1-Year EV/EBITDA Change</w:t>
            </w:r>
          </w:p>
        </w:tc>
        <w:tc>
          <w:tcPr>
            <w:tcW w:type="dxa" w:w="2880"/>
          </w:tcPr>
          <w:p>
            <w:r>
              <w:rPr>
                <w:rFonts w:ascii="Calibri" w:hAnsi="Calibri"/>
                <w:sz w:val="22"/>
              </w:rPr>
              <w:t>−20.1%</w:t>
            </w:r>
          </w:p>
        </w:tc>
        <w:tc>
          <w:tcPr>
            <w:tcW w:type="dxa" w:w="2880"/>
          </w:tcPr>
          <w:p>
            <w:r>
              <w:rPr>
                <w:rFonts w:ascii="Calibri" w:hAnsi="Calibri"/>
                <w:sz w:val="22"/>
              </w:rPr>
              <w:t>Stock Performance Decomposition</w:t>
            </w:r>
          </w:p>
        </w:tc>
      </w:tr>
      <w:tr>
        <w:tc>
          <w:tcPr>
            <w:tcW w:type="dxa" w:w="2880"/>
          </w:tcPr>
          <w:p>
            <w:r>
              <w:rPr>
                <w:rFonts w:ascii="Calibri" w:hAnsi="Calibri"/>
                <w:sz w:val="22"/>
              </w:rPr>
              <w:t>VICI vs. Peer Group EV/EBITDA Discount</w:t>
            </w:r>
          </w:p>
        </w:tc>
        <w:tc>
          <w:tcPr>
            <w:tcW w:type="dxa" w:w="2880"/>
          </w:tcPr>
          <w:p>
            <w:r>
              <w:rPr>
                <w:rFonts w:ascii="Calibri" w:hAnsi="Calibri"/>
                <w:sz w:val="22"/>
              </w:rPr>
              <w:t>−9.0% (vs. diversified REIT peers)</w:t>
            </w:r>
          </w:p>
        </w:tc>
        <w:tc>
          <w:tcPr>
            <w:tcW w:type="dxa" w:w="2880"/>
          </w:tcPr>
          <w:p>
            <w:r>
              <w:rPr>
                <w:rFonts w:ascii="Calibri" w:hAnsi="Calibri"/>
                <w:sz w:val="22"/>
              </w:rPr>
              <w:t>Peer Valuation Tool (Jul 29, 2026)</w:t>
            </w:r>
          </w:p>
        </w:tc>
      </w:tr>
      <w:tr>
        <w:tc>
          <w:tcPr>
            <w:tcW w:type="dxa" w:w="2880"/>
          </w:tcPr>
          <w:p>
            <w:r>
              <w:rPr>
                <w:rFonts w:ascii="Calibri" w:hAnsi="Calibri"/>
                <w:sz w:val="22"/>
              </w:rPr>
              <w:t>FY2026 AFFO Guidance Range</w:t>
            </w:r>
          </w:p>
        </w:tc>
        <w:tc>
          <w:tcPr>
            <w:tcW w:type="dxa" w:w="2880"/>
          </w:tcPr>
          <w:p>
            <w:r>
              <w:rPr>
                <w:rFonts w:ascii="Calibri" w:hAnsi="Calibri"/>
                <w:sz w:val="22"/>
              </w:rPr>
              <w:t>$2.44–$2.47/share ($2,665–$2,695M)</w:t>
            </w:r>
          </w:p>
        </w:tc>
        <w:tc>
          <w:tcPr>
            <w:tcW w:type="dxa" w:w="2880"/>
          </w:tcPr>
          <w:p>
            <w:r>
              <w:rPr>
                <w:rFonts w:ascii="Calibri" w:hAnsi="Calibri"/>
                <w:sz w:val="22"/>
              </w:rPr>
              <w:t>VICI Q1 2026 Earnings Release (Apr 29, 2026)</w:t>
            </w:r>
          </w:p>
        </w:tc>
      </w:tr>
      <w:tr>
        <w:tc>
          <w:tcPr>
            <w:tcW w:type="dxa" w:w="2880"/>
          </w:tcPr>
          <w:p>
            <w:r>
              <w:rPr>
                <w:rFonts w:ascii="Calibri" w:hAnsi="Calibri"/>
                <w:sz w:val="22"/>
              </w:rPr>
              <w:t>Q2 2026 AFFO/Share Consensus</w:t>
            </w:r>
          </w:p>
        </w:tc>
        <w:tc>
          <w:tcPr>
            <w:tcW w:type="dxa" w:w="2880"/>
          </w:tcPr>
          <w:p>
            <w:r>
              <w:rPr>
                <w:rFonts w:ascii="Calibri" w:hAnsi="Calibri"/>
                <w:sz w:val="22"/>
              </w:rPr>
              <w:t>$0.615</w:t>
            </w:r>
          </w:p>
        </w:tc>
        <w:tc>
          <w:tcPr>
            <w:tcW w:type="dxa" w:w="2880"/>
          </w:tcPr>
          <w:p>
            <w:r>
              <w:rPr>
                <w:rFonts w:ascii="Calibri" w:hAnsi="Calibri"/>
                <w:sz w:val="22"/>
              </w:rPr>
              <w:t>Visible Alpha Consensus and Actuals Data</w:t>
            </w:r>
          </w:p>
        </w:tc>
      </w:tr>
      <w:tr>
        <w:tc>
          <w:tcPr>
            <w:tcW w:type="dxa" w:w="2880"/>
          </w:tcPr>
          <w:p>
            <w:r>
              <w:rPr>
                <w:rFonts w:ascii="Calibri" w:hAnsi="Calibri"/>
                <w:sz w:val="22"/>
              </w:rPr>
              <w:t>Q2 2026 Net Revenue Consensus</w:t>
            </w:r>
          </w:p>
        </w:tc>
        <w:tc>
          <w:tcPr>
            <w:tcW w:type="dxa" w:w="2880"/>
          </w:tcPr>
          <w:p>
            <w:r>
              <w:rPr>
                <w:rFonts w:ascii="Calibri" w:hAnsi="Calibri"/>
                <w:sz w:val="22"/>
              </w:rPr>
              <w:t>$1,035.2M</w:t>
            </w:r>
          </w:p>
        </w:tc>
        <w:tc>
          <w:tcPr>
            <w:tcW w:type="dxa" w:w="2880"/>
          </w:tcPr>
          <w:p>
            <w:r>
              <w:rPr>
                <w:rFonts w:ascii="Calibri" w:hAnsi="Calibri"/>
                <w:sz w:val="22"/>
              </w:rPr>
              <w:t>Visible Alpha Consensus and Actuals Data</w:t>
            </w:r>
          </w:p>
        </w:tc>
      </w:tr>
      <w:tr>
        <w:tc>
          <w:tcPr>
            <w:tcW w:type="dxa" w:w="2880"/>
          </w:tcPr>
          <w:p>
            <w:r>
              <w:rPr>
                <w:rFonts w:ascii="Calibri" w:hAnsi="Calibri"/>
                <w:sz w:val="22"/>
              </w:rPr>
              <w:t>Q2 2026 NOI Consensus</w:t>
            </w:r>
          </w:p>
        </w:tc>
        <w:tc>
          <w:tcPr>
            <w:tcW w:type="dxa" w:w="2880"/>
          </w:tcPr>
          <w:p>
            <w:r>
              <w:rPr>
                <w:rFonts w:ascii="Calibri" w:hAnsi="Calibri"/>
                <w:sz w:val="22"/>
              </w:rPr>
              <w:t>$1,013.5M</w:t>
            </w:r>
          </w:p>
        </w:tc>
        <w:tc>
          <w:tcPr>
            <w:tcW w:type="dxa" w:w="2880"/>
          </w:tcPr>
          <w:p>
            <w:r>
              <w:rPr>
                <w:rFonts w:ascii="Calibri" w:hAnsi="Calibri"/>
                <w:sz w:val="22"/>
              </w:rPr>
              <w:t>Visible Alpha Consensus and Actuals Data</w:t>
            </w:r>
          </w:p>
        </w:tc>
      </w:tr>
      <w:tr>
        <w:tc>
          <w:tcPr>
            <w:tcW w:type="dxa" w:w="2880"/>
          </w:tcPr>
          <w:p>
            <w:r>
              <w:rPr>
                <w:rFonts w:ascii="Calibri" w:hAnsi="Calibri"/>
                <w:sz w:val="22"/>
              </w:rPr>
              <w:t>Total Debt (Q1 2026)</w:t>
            </w:r>
          </w:p>
        </w:tc>
        <w:tc>
          <w:tcPr>
            <w:tcW w:type="dxa" w:w="2880"/>
          </w:tcPr>
          <w:p>
            <w:r>
              <w:rPr>
                <w:rFonts w:ascii="Calibri" w:hAnsi="Calibri"/>
                <w:sz w:val="22"/>
              </w:rPr>
              <w:t>$17.1B</w:t>
            </w:r>
          </w:p>
        </w:tc>
        <w:tc>
          <w:tcPr>
            <w:tcW w:type="dxa" w:w="2880"/>
          </w:tcPr>
          <w:p>
            <w:r>
              <w:rPr>
                <w:rFonts w:ascii="Calibri" w:hAnsi="Calibri"/>
                <w:sz w:val="22"/>
              </w:rPr>
              <w:t>VICI Q1 2026 Earnings Call Transcript</w:t>
            </w:r>
          </w:p>
        </w:tc>
      </w:tr>
      <w:tr>
        <w:tc>
          <w:tcPr>
            <w:tcW w:type="dxa" w:w="2880"/>
          </w:tcPr>
          <w:p>
            <w:r>
              <w:rPr>
                <w:rFonts w:ascii="Calibri" w:hAnsi="Calibri"/>
                <w:sz w:val="22"/>
              </w:rPr>
              <w:t>Net Debt/EBITDA (Q1 2026)</w:t>
            </w:r>
          </w:p>
        </w:tc>
        <w:tc>
          <w:tcPr>
            <w:tcW w:type="dxa" w:w="2880"/>
          </w:tcPr>
          <w:p>
            <w:r>
              <w:rPr>
                <w:rFonts w:ascii="Calibri" w:hAnsi="Calibri"/>
                <w:sz w:val="22"/>
              </w:rPr>
              <w:t>~5.0x (low end of 5.0–5.5x target)</w:t>
            </w:r>
          </w:p>
        </w:tc>
        <w:tc>
          <w:tcPr>
            <w:tcW w:type="dxa" w:w="2880"/>
          </w:tcPr>
          <w:p>
            <w:r>
              <w:rPr>
                <w:rFonts w:ascii="Calibri" w:hAnsi="Calibri"/>
                <w:sz w:val="22"/>
              </w:rPr>
              <w:t>VICI Q1 2026 Earnings Call Transcript</w:t>
            </w:r>
          </w:p>
        </w:tc>
      </w:tr>
      <w:tr>
        <w:tc>
          <w:tcPr>
            <w:tcW w:type="dxa" w:w="2880"/>
          </w:tcPr>
          <w:p>
            <w:r>
              <w:rPr>
                <w:rFonts w:ascii="Calibri" w:hAnsi="Calibri"/>
                <w:sz w:val="22"/>
              </w:rPr>
              <w:t>Total Liquidity (Q1 2026)</w:t>
            </w:r>
          </w:p>
        </w:tc>
        <w:tc>
          <w:tcPr>
            <w:tcW w:type="dxa" w:w="2880"/>
          </w:tcPr>
          <w:p>
            <w:r>
              <w:rPr>
                <w:rFonts w:ascii="Calibri" w:hAnsi="Calibri"/>
                <w:sz w:val="22"/>
              </w:rPr>
              <w:t>~$3.1B</w:t>
            </w:r>
          </w:p>
        </w:tc>
        <w:tc>
          <w:tcPr>
            <w:tcW w:type="dxa" w:w="2880"/>
          </w:tcPr>
          <w:p>
            <w:r>
              <w:rPr>
                <w:rFonts w:ascii="Calibri" w:hAnsi="Calibri"/>
                <w:sz w:val="22"/>
              </w:rPr>
              <w:t>VICI Q1 2026 Earnings Call Transcript</w:t>
            </w:r>
          </w:p>
        </w:tc>
      </w:tr>
      <w:tr>
        <w:tc>
          <w:tcPr>
            <w:tcW w:type="dxa" w:w="2880"/>
          </w:tcPr>
          <w:p>
            <w:r>
              <w:rPr>
                <w:rFonts w:ascii="Calibri" w:hAnsi="Calibri"/>
                <w:sz w:val="22"/>
              </w:rPr>
              <w:t>Annual FCF After Dividends</w:t>
            </w:r>
          </w:p>
        </w:tc>
        <w:tc>
          <w:tcPr>
            <w:tcW w:type="dxa" w:w="2880"/>
          </w:tcPr>
          <w:p>
            <w:r>
              <w:rPr>
                <w:rFonts w:ascii="Calibri" w:hAnsi="Calibri"/>
                <w:sz w:val="22"/>
              </w:rPr>
              <w:t>~$650M</w:t>
            </w:r>
          </w:p>
        </w:tc>
        <w:tc>
          <w:tcPr>
            <w:tcW w:type="dxa" w:w="2880"/>
          </w:tcPr>
          <w:p>
            <w:r>
              <w:rPr>
                <w:rFonts w:ascii="Calibri" w:hAnsi="Calibri"/>
                <w:sz w:val="22"/>
              </w:rPr>
              <w:t>VICI Q1 2026 Earnings Call Transcript</w:t>
            </w:r>
          </w:p>
        </w:tc>
      </w:tr>
      <w:tr>
        <w:tc>
          <w:tcPr>
            <w:tcW w:type="dxa" w:w="2880"/>
          </w:tcPr>
          <w:p>
            <w:r>
              <w:rPr>
                <w:rFonts w:ascii="Calibri" w:hAnsi="Calibri"/>
                <w:sz w:val="22"/>
              </w:rPr>
              <w:t>AFFO Payout Ratio</w:t>
            </w:r>
          </w:p>
        </w:tc>
        <w:tc>
          <w:tcPr>
            <w:tcW w:type="dxa" w:w="2880"/>
          </w:tcPr>
          <w:p>
            <w:r>
              <w:rPr>
                <w:rFonts w:ascii="Calibri" w:hAnsi="Calibri"/>
                <w:sz w:val="22"/>
              </w:rPr>
              <w:t>~75%</w:t>
            </w:r>
          </w:p>
        </w:tc>
        <w:tc>
          <w:tcPr>
            <w:tcW w:type="dxa" w:w="2880"/>
          </w:tcPr>
          <w:p>
            <w:r>
              <w:rPr>
                <w:rFonts w:ascii="Calibri" w:hAnsi="Calibri"/>
                <w:sz w:val="22"/>
              </w:rPr>
              <w:t>VICI Q1 2026 Earnings Call Transcript</w:t>
            </w:r>
          </w:p>
        </w:tc>
      </w:tr>
      <w:tr>
        <w:tc>
          <w:tcPr>
            <w:tcW w:type="dxa" w:w="2880"/>
          </w:tcPr>
          <w:p>
            <w:r>
              <w:rPr>
                <w:rFonts w:ascii="Calibri" w:hAnsi="Calibri"/>
                <w:sz w:val="22"/>
              </w:rPr>
              <w:t>Quarterly Dividend per Share</w:t>
            </w:r>
          </w:p>
        </w:tc>
        <w:tc>
          <w:tcPr>
            <w:tcW w:type="dxa" w:w="2880"/>
          </w:tcPr>
          <w:p>
            <w:r>
              <w:rPr>
                <w:rFonts w:ascii="Calibri" w:hAnsi="Calibri"/>
                <w:sz w:val="22"/>
              </w:rPr>
              <w:t>$0.45</w:t>
            </w:r>
          </w:p>
        </w:tc>
        <w:tc>
          <w:tcPr>
            <w:tcW w:type="dxa" w:w="2880"/>
          </w:tcPr>
          <w:p>
            <w:r>
              <w:rPr>
                <w:rFonts w:ascii="Calibri" w:hAnsi="Calibri"/>
                <w:sz w:val="22"/>
              </w:rPr>
              <w:t>VICI Q1 2026 Earnings Release (declared Mar 5, paid Apr 9, 2026)</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