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Valero Energy (VLO) before writing the preview. Let me start by gathering recent earnings materials, filings, and news.I'll read the most recent earnings call and release, plus the Q2 2025 call for year-ago context and seasonal comparison.Let me gather recent news, macro context, and stock price data to round out the preview.Let me pull the year-ago Q2 2025 release for comparison and check for any recent 8-Ks on Port Arthur/Benicia.I now have a comprehensive picture. Let me write the preview.</w:t>
      </w:r>
    </w:p>
    <w:bookmarkStart w:id="16" w:name="Xa0e83cf9ebae6e386d955025a603c763b27f3ea"/>
    <w:p>
      <w:pPr>
        <w:pStyle w:val="Heading1"/>
      </w:pPr>
      <w:r>
        <w:t xml:space="preserve">Valero Energy (VLO) — Q2 2026 Earnings Preview</w:t>
      </w:r>
    </w:p>
    <w:bookmarkStart w:id="9" w:name="X542553ef21b21554e36a7bb3055fd2a44836d6f"/>
    <w:p>
      <w:pPr>
        <w:pStyle w:val="Heading3"/>
      </w:pPr>
      <w:r>
        <w:t xml:space="preserve">Report date: Thursday, July 30, 2026 (before market open) | 2026Q2 Earnings Call, 10:00 a.m.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Valero heads into Q2 as the biggest beneficiary of an extraordinary refining tape. A geopolitical supply shock has sent margins to multi-year highs, and management already flagged on the Q1 call that Gulf Coast quarter-to-date indicators were running near</w:t>
      </w:r>
      <w:r>
        <w:t xml:space="preserve"> </w:t>
      </w:r>
      <m:oMath>
        <m:r>
          <m:t>30</m:t>
        </m:r>
        <m:r>
          <m:rPr>
            <m:sty m:val="p"/>
          </m:rPr>
          <m:t>/</m:t>
        </m:r>
        <m:r>
          <m:t>b</m:t>
        </m:r>
        <m:r>
          <m:t>b</m:t>
        </m:r>
        <m:r>
          <m:t>l</m:t>
        </m:r>
        <m:r>
          <m:t>v</m:t>
        </m:r>
        <m:r>
          <m:t>s</m:t>
        </m:r>
        <m:r>
          <m:rPr>
            <m:sty m:val="p"/>
          </m:rPr>
          <m:t>.</m:t>
        </m:r>
        <m:r>
          <m:t> </m:t>
        </m:r>
      </m:oMath>
      <w:r>
        <w:rPr>
          <w:b/>
          <w:bCs/>
        </w:rPr>
        <w:t xml:space="preserve">18 in Q1</w:t>
      </w:r>
      <w:r>
        <w:t xml:space="preserve"> </w:t>
      </w:r>
      <w:r>
        <w:t xml:space="preserve">— a level that "harkens back to the second quarter of 2022." The stock has priced a lot of this in (up ~83% YTD), so the debate is less "will the number be big" and more "is peak margin already in the price, and how durable is it?"</w:t>
      </w:r>
    </w:p>
    <w:p>
      <w:r>
        <w:pict>
          <v:rect style="width:0;height:1.5pt" o:hralign="center" o:hrstd="t" o:hr="t"/>
        </w:pict>
      </w:r>
    </w:p>
    <w:bookmarkEnd w:id="10"/>
    <w:bookmarkStart w:id="11" w:name="X4bde7e7d4ff168120e2780bf4353557bedde34c"/>
    <w:p>
      <w:pPr>
        <w:pStyle w:val="Heading2"/>
      </w:pPr>
      <w:r>
        <w:t xml:space="preserve">Macro backdrop: a genuine supply shock, not just seasonality</w:t>
      </w:r>
    </w:p>
    <w:p>
      <w:pPr>
        <w:pStyle w:val="FirstParagraph"/>
      </w:pPr>
      <w:r>
        <w:t xml:space="preserve">This is the dominant variable for the print and the guidance.</w:t>
      </w:r>
    </w:p>
    <w:p>
      <w:pPr>
        <w:pStyle w:val="Compact"/>
        <w:numPr>
          <w:ilvl w:val="0"/>
          <w:numId w:val="1001"/>
        </w:numPr>
      </w:pPr>
      <w:r>
        <w:t xml:space="preserve">A U.S.–Iran conflict has effectively halted tanker traffic through the</w:t>
      </w:r>
      <w:r>
        <w:t xml:space="preserve"> </w:t>
      </w:r>
      <w:r>
        <w:rPr>
          <w:b/>
          <w:bCs/>
        </w:rPr>
        <w:t xml:space="preserve">Strait of Hormuz</w:t>
      </w:r>
      <w:r>
        <w:t xml:space="preserve"> </w:t>
      </w:r>
      <w:r>
        <w:t xml:space="preserve">— where more than a quarter of the world's crude normally transits — and oil has pushed</w:t>
      </w:r>
      <w:r>
        <w:t xml:space="preserve"> </w:t>
      </w:r>
      <w:r>
        <w:rPr>
          <w:b/>
          <w:bCs/>
        </w:rPr>
        <w:t xml:space="preserve">above $85/bbl</w:t>
      </w:r>
      <w:r>
        <w:t xml:space="preserve">. As of report eve, attacks resumed after a four-day pause, dampening hopes of de-escalation.</w:t>
      </w:r>
    </w:p>
    <w:p>
      <w:pPr>
        <w:pStyle w:val="Compact"/>
        <w:numPr>
          <w:ilvl w:val="0"/>
          <w:numId w:val="1001"/>
        </w:numPr>
      </w:pPr>
      <w:r>
        <w:t xml:space="preserve">On the Q1 call, COO Gary Simmons argued the tightness is</w:t>
      </w:r>
      <w:r>
        <w:t xml:space="preserve"> </w:t>
      </w:r>
      <w:r>
        <w:rPr>
          <w:b/>
          <w:bCs/>
        </w:rPr>
        <w:t xml:space="preserve">"insufficient supply to meet demand" rather than demand destruction</w:t>
      </w:r>
      <w:r>
        <w:t xml:space="preserve">, with U.S. product exports up ~470kbpd y/y, distillate inventories at 5-year lows, and gasoline at the bottom of the 5-year range. He estimated it takes ≥3 days to restock for every day the strait is closed — i.e.,</w:t>
      </w:r>
      <w:r>
        <w:t xml:space="preserve"> </w:t>
      </w:r>
      <w:r>
        <w:rPr>
          <w:b/>
          <w:bCs/>
        </w:rPr>
        <w:t xml:space="preserve">6–12 months of tightness even after a resolution</w:t>
      </w:r>
      <w:r>
        <w:t xml:space="preserve">.</w:t>
      </w:r>
    </w:p>
    <w:p>
      <w:pPr>
        <w:pStyle w:val="Compact"/>
        <w:numPr>
          <w:ilvl w:val="0"/>
          <w:numId w:val="1001"/>
        </w:numPr>
      </w:pPr>
      <w:r>
        <w:t xml:space="preserve">Structural tailwinds VLO called out: wide heavy-sour discounts (WCS ~$16 under WTI at the Gulf), a strong jet regrade, firm secondary-product premiums, and a VGO shortage that favors VLO's complex coastal system.</w:t>
      </w:r>
    </w:p>
    <w:p>
      <w:pPr>
        <w:pStyle w:val="Compact"/>
        <w:numPr>
          <w:ilvl w:val="0"/>
          <w:numId w:val="1001"/>
        </w:numPr>
      </w:pPr>
      <w:r>
        <w:t xml:space="preserve">Key</w:t>
      </w:r>
      <w:r>
        <w:t xml:space="preserve"> </w:t>
      </w:r>
      <w:r>
        <w:rPr>
          <w:b/>
          <w:bCs/>
        </w:rPr>
        <w:t xml:space="preserve">headwind to watch on capture rate</w:t>
      </w:r>
      <w:r>
        <w:t xml:space="preserve">: steep crude</w:t>
      </w:r>
      <w:r>
        <w:t xml:space="preserve"> </w:t>
      </w:r>
      <w:r>
        <w:rPr>
          <w:b/>
          <w:bCs/>
        </w:rPr>
        <w:t xml:space="preserve">backwardation</w:t>
      </w:r>
      <w:r>
        <w:t xml:space="preserve"> </w:t>
      </w:r>
      <w:r>
        <w:t xml:space="preserve">(peaked ~</w:t>
      </w:r>
      <m:oMath>
        <m:r>
          <m:t>11</m:t>
        </m:r>
        <m:r>
          <m:rPr>
            <m:sty m:val="p"/>
          </m:rPr>
          <m:t>–</m:t>
        </m:r>
        <m:r>
          <m:t>14</m:t>
        </m:r>
        <m:r>
          <m:rPr>
            <m:sty m:val="p"/>
          </m:rPr>
          <m:t>/</m:t>
        </m:r>
        <m:r>
          <m:t>b</m:t>
        </m:r>
        <m:r>
          <m:t>b</m:t>
        </m:r>
        <m:r>
          <m:t>l</m:t>
        </m:r>
        <m:r>
          <m:rPr>
            <m:sty m:val="p"/>
          </m:rPr>
          <m:t>,</m:t>
        </m:r>
        <m:r>
          <m:t>l</m:t>
        </m:r>
        <m:r>
          <m:t>a</m:t>
        </m:r>
        <m:r>
          <m:t>t</m:t>
        </m:r>
        <m:r>
          <m:t>e</m:t>
        </m:r>
        <m:r>
          <m:t>r</m:t>
        </m:r>
        <m:r>
          <m:t> </m:t>
        </m:r>
      </m:oMath>
      <w:r>
        <w:t xml:space="preserve">6) and physical markets disconnecting from futures, which compresses realized capture even when headline cracks are huge.</w:t>
      </w:r>
    </w:p>
    <w:p>
      <w:pPr>
        <w:pStyle w:val="FirstParagraph"/>
      </w:pPr>
      <w:r>
        <w:rPr>
          <w:b/>
          <w:bCs/>
        </w:rPr>
        <w:t xml:space="preserve">Bottom line:</w:t>
      </w:r>
      <w:r>
        <w:t xml:space="preserve"> </w:t>
      </w:r>
      <w:r>
        <w:t xml:space="preserve">the margin environment is a tailwind of a magnitude the sector rarely sees. The nuance is how much of the indicator strength VLO actually captures given backwardation.</w:t>
      </w:r>
    </w:p>
    <w:p>
      <w:r>
        <w:pict>
          <v:rect style="width:0;height:1.5pt" o:hralign="center" o:hrstd="t" o:hr="t"/>
        </w:pict>
      </w:r>
    </w:p>
    <w:bookmarkEnd w:id="11"/>
    <w:bookmarkStart w:id="12" w:name="X151c8a532286d0d6f27d68822827675235a08c8"/>
    <w:p>
      <w:pPr>
        <w:pStyle w:val="Heading2"/>
      </w:pPr>
      <w:r>
        <w:t xml:space="preserve">What to model for Q2 (management's own guidance from the Q1 call)</w:t>
      </w:r>
    </w:p>
    <w:p>
      <w:pPr>
        <w:pStyle w:val="FirstParagraph"/>
      </w:pPr>
      <w:r>
        <w:rPr>
          <w:b/>
          <w:bCs/>
        </w:rPr>
        <w:t xml:space="preserve">Throughput (lower than normal — two assets impaired the run rate):</w:t>
      </w:r>
      <w:r>
        <w:t xml:space="preserve"> </w:t>
      </w:r>
      <w:r>
        <w:t xml:space="preserve">| Region | Q2 guidance |</w:t>
      </w:r>
      <w:r>
        <w:t xml:space="preserve"> </w:t>
      </w:r>
      <w:r>
        <w:t xml:space="preserve">|---|---|</w:t>
      </w:r>
      <w:r>
        <w:t xml:space="preserve"> </w:t>
      </w:r>
      <w:r>
        <w:t xml:space="preserve">| Gulf Coast | 1.69–1.74 MMbpd</w:t>
      </w:r>
      <w:r>
        <w:t xml:space="preserve"> </w:t>
      </w:r>
      <w:r>
        <w:rPr>
          <w:i/>
          <w:iCs/>
        </w:rPr>
        <w:t xml:space="preserve">(reduced for Port Arthur)</w:t>
      </w:r>
      <w:r>
        <w:t xml:space="preserve"> </w:t>
      </w:r>
      <w:r>
        <w:t xml:space="preserve">|</w:t>
      </w:r>
      <w:r>
        <w:t xml:space="preserve"> </w:t>
      </w:r>
      <w:r>
        <w:t xml:space="preserve">| Mid-Continent | 450–470 kbpd |</w:t>
      </w:r>
      <w:r>
        <w:t xml:space="preserve"> </w:t>
      </w:r>
      <w:r>
        <w:t xml:space="preserve">| West Coast | 120–130 kbpd</w:t>
      </w:r>
      <w:r>
        <w:t xml:space="preserve"> </w:t>
      </w:r>
      <w:r>
        <w:rPr>
          <w:i/>
          <w:iCs/>
        </w:rPr>
        <w:t xml:space="preserve">(Benicia idled)</w:t>
      </w:r>
      <w:r>
        <w:t xml:space="preserve"> </w:t>
      </w:r>
      <w:r>
        <w:t xml:space="preserve">|</w:t>
      </w:r>
      <w:r>
        <w:t xml:space="preserve"> </w:t>
      </w:r>
      <w:r>
        <w:t xml:space="preserve">| North Atlantic | 480–500 kbpd |</w:t>
      </w:r>
      <w:r>
        <w:t xml:space="preserve"> </w:t>
      </w:r>
      <w:r>
        <w:t xml:space="preserve">|</w:t>
      </w:r>
      <w:r>
        <w:t xml:space="preserve"> </w:t>
      </w:r>
      <w:r>
        <w:rPr>
          <w:b/>
          <w:bCs/>
        </w:rPr>
        <w:t xml:space="preserve">Implied total</w:t>
      </w:r>
      <w:r>
        <w:t xml:space="preserve"> </w:t>
      </w:r>
      <w:r>
        <w:t xml:space="preserve">|</w:t>
      </w:r>
      <w:r>
        <w:t xml:space="preserve"> </w:t>
      </w:r>
      <w:r>
        <w:rPr>
          <w:b/>
          <w:bCs/>
        </w:rPr>
        <w:t xml:space="preserve">~2.74–2.84 MMbpd</w:t>
      </w:r>
      <w:r>
        <w:t xml:space="preserve"> </w:t>
      </w:r>
      <w:r>
        <w:t xml:space="preserve">(vs. 2.92 MMbpd in Q2'25) |</w:t>
      </w:r>
    </w:p>
    <w:p>
      <w:pPr>
        <w:pStyle w:val="BodyText"/>
      </w:pPr>
      <w:r>
        <w:rPr>
          <w:b/>
          <w:bCs/>
        </w:rPr>
        <w:t xml:space="preserve">Other guide-posts:</w:t>
      </w:r>
    </w:p>
    <w:p>
      <w:pPr>
        <w:pStyle w:val="Compact"/>
        <w:numPr>
          <w:ilvl w:val="0"/>
          <w:numId w:val="1002"/>
        </w:numPr>
      </w:pPr>
      <w:r>
        <w:t xml:space="preserve">Refining cash opex:</w:t>
      </w:r>
      <w:r>
        <w:t xml:space="preserve"> </w:t>
      </w:r>
      <w:r>
        <w:rPr>
          <w:b/>
          <w:bCs/>
        </w:rPr>
        <w:t xml:space="preserve">~$4.85/bbl</w:t>
      </w:r>
    </w:p>
    <w:p>
      <w:pPr>
        <w:pStyle w:val="Compact"/>
        <w:numPr>
          <w:ilvl w:val="0"/>
          <w:numId w:val="1002"/>
        </w:numPr>
      </w:pPr>
      <w:r>
        <w:t xml:space="preserve">Renewable Diesel:</w:t>
      </w:r>
      <w:r>
        <w:t xml:space="preserve"> </w:t>
      </w:r>
      <w:r>
        <w:rPr>
          <w:b/>
          <w:bCs/>
        </w:rPr>
        <w:t xml:space="preserve">~320M gallons</w:t>
      </w:r>
      <w:r>
        <w:t xml:space="preserve"> </w:t>
      </w:r>
      <w:r>
        <w:t xml:space="preserve">sold; opex</w:t>
      </w:r>
      <w:r>
        <w:t xml:space="preserve"> </w:t>
      </w:r>
      <m:oMath>
        <m:r>
          <m:t>0.46</m:t>
        </m:r>
        <m:r>
          <m:rPr>
            <m:sty m:val="p"/>
          </m:rPr>
          <m:t>/</m:t>
        </m:r>
        <m:r>
          <m:t>g</m:t>
        </m:r>
        <m:r>
          <m:t>a</m:t>
        </m:r>
        <m:r>
          <m:t>l</m:t>
        </m:r>
        <m:r>
          <m:rPr>
            <m:sty m:val="p"/>
          </m:rPr>
          <m:t>(</m:t>
        </m:r>
      </m:oMath>
      <w:r>
        <w:t xml:space="preserve">0.22 non-cash)</w:t>
      </w:r>
    </w:p>
    <w:p>
      <w:pPr>
        <w:pStyle w:val="Compact"/>
        <w:numPr>
          <w:ilvl w:val="0"/>
          <w:numId w:val="1002"/>
        </w:numPr>
      </w:pPr>
      <w:r>
        <w:t xml:space="preserve">Ethanol:</w:t>
      </w:r>
      <w:r>
        <w:t xml:space="preserve"> </w:t>
      </w:r>
      <w:r>
        <w:rPr>
          <w:b/>
          <w:bCs/>
        </w:rPr>
        <w:t xml:space="preserve">4.7M gal/day</w:t>
      </w:r>
      <w:r>
        <w:t xml:space="preserve">; opex $0.39/gal</w:t>
      </w:r>
    </w:p>
    <w:p>
      <w:pPr>
        <w:pStyle w:val="Compact"/>
        <w:numPr>
          <w:ilvl w:val="0"/>
          <w:numId w:val="1002"/>
        </w:numPr>
      </w:pPr>
      <w:r>
        <w:t xml:space="preserve">Net interest:</w:t>
      </w:r>
      <w:r>
        <w:t xml:space="preserve"> </w:t>
      </w:r>
      <w:r>
        <w:rPr>
          <w:b/>
          <w:bCs/>
        </w:rPr>
        <w:t xml:space="preserve">~</w:t>
      </w:r>
      <w:r>
        <w:rPr>
          <w:b/>
          <w:bCs/>
        </w:rPr>
        <w:t xml:space="preserve">$145M**; total D&amp;A **~$</w:t>
      </w:r>
      <w:r>
        <w:rPr>
          <w:b/>
          <w:bCs/>
        </w:rPr>
        <w:t xml:space="preserve">730M</w:t>
      </w:r>
      <w:r>
        <w:t xml:space="preserve"> </w:t>
      </w:r>
      <w:r>
        <w:t xml:space="preserve">(incl. ~</w:t>
      </w:r>
      <m:oMath>
        <m:r>
          <m:t>33</m:t>
        </m:r>
        <m:r>
          <m:t>M</m:t>
        </m:r>
        <m:r>
          <m:t>B</m:t>
        </m:r>
        <m:r>
          <m:t>e</m:t>
        </m:r>
        <m:r>
          <m:t>n</m:t>
        </m:r>
        <m:r>
          <m:t>i</m:t>
        </m:r>
        <m:r>
          <m:t>c</m:t>
        </m:r>
        <m:r>
          <m:t>i</m:t>
        </m:r>
        <m:r>
          <m:t>a</m:t>
        </m:r>
        <m:r>
          <m:t>i</m:t>
        </m:r>
        <m:r>
          <m:t>n</m:t>
        </m:r>
        <m:r>
          <m:t>c</m:t>
        </m:r>
        <m:r>
          <m:t>r</m:t>
        </m:r>
        <m:r>
          <m:t>e</m:t>
        </m:r>
        <m:r>
          <m:t>m</m:t>
        </m:r>
        <m:r>
          <m:t>e</m:t>
        </m:r>
        <m:r>
          <m:t>n</m:t>
        </m:r>
        <m:r>
          <m:t>t</m:t>
        </m:r>
        <m:r>
          <m:t>a</m:t>
        </m:r>
        <m:r>
          <m:t>l</m:t>
        </m:r>
        <m:r>
          <m:rPr>
            <m:sty m:val="p"/>
          </m:rPr>
          <m:t>,</m:t>
        </m:r>
        <m:r>
          <m:t> </m:t>
        </m:r>
      </m:oMath>
      <w:r>
        <w:t xml:space="preserve">0.09/sh drag)</w:t>
      </w:r>
    </w:p>
    <w:p>
      <w:pPr>
        <w:pStyle w:val="Compact"/>
        <w:numPr>
          <w:ilvl w:val="0"/>
          <w:numId w:val="1002"/>
        </w:numPr>
      </w:pPr>
      <w:r>
        <w:t xml:space="preserve">FY26 G&amp;A:</w:t>
      </w:r>
      <w:r>
        <w:t xml:space="preserve"> </w:t>
      </w:r>
      <w:r>
        <w:rPr>
          <w:b/>
          <w:bCs/>
        </w:rPr>
        <w:t xml:space="preserve">~$960M</w:t>
      </w:r>
    </w:p>
    <w:p>
      <w:pPr>
        <w:pStyle w:val="FirstParagraph"/>
      </w:pPr>
      <w:r>
        <w:t xml:space="preserve">For context on the earnings power at stake:</w:t>
      </w:r>
      <w:r>
        <w:t xml:space="preserve"> </w:t>
      </w:r>
      <w:r>
        <w:rPr>
          <w:b/>
          <w:bCs/>
        </w:rPr>
        <w:t xml:space="preserve">Q1 2026 delivered $4.22 EPS</w:t>
      </w:r>
      <w:r>
        <w:t xml:space="preserve"> </w:t>
      </w:r>
      <w:r>
        <w:t xml:space="preserve">on a $14.90/bbl refining margin. Year-ago **Q2 2025 was</w:t>
      </w:r>
      <w:r>
        <w:t xml:space="preserve"> </w:t>
      </w:r>
      <m:oMath>
        <m:r>
          <m:t>2.28</m:t>
        </m:r>
        <m:r>
          <m:t>E</m:t>
        </m:r>
        <m:r>
          <m:t>P</m:t>
        </m:r>
        <m:r>
          <m:t>S</m:t>
        </m:r>
        <m:r>
          <m:rPr>
            <m:sty m:val="p"/>
          </m:rPr>
          <m:t>*</m:t>
        </m:r>
        <m:r>
          <m:rPr>
            <m:sty m:val="p"/>
          </m:rPr>
          <m:t>*</m:t>
        </m:r>
        <m:r>
          <m:rPr>
            <m:sty m:val="p"/>
          </m:rPr>
          <m:t>(</m:t>
        </m:r>
      </m:oMath>
      <w:r>
        <w:t xml:space="preserve">12.35/bbl margin). With Q2 indicators running dramatically higher than Q1, the y/y and q/q comparisons should look explosive — the risk is that expectations have moved up just as fast.</w:t>
      </w:r>
    </w:p>
    <w:p>
      <w:r>
        <w:pict>
          <v:rect style="width:0;height:1.5pt" o:hralign="center" o:hrstd="t" o:hr="t"/>
        </w:pict>
      </w:r>
    </w:p>
    <w:bookmarkEnd w:id="12"/>
    <w:bookmarkStart w:id="13" w:name="company-specific-swing-factors"/>
    <w:p>
      <w:pPr>
        <w:pStyle w:val="Heading2"/>
      </w:pPr>
      <w:r>
        <w:t xml:space="preserve">Company-specific swing factors</w:t>
      </w:r>
    </w:p>
    <w:p>
      <w:pPr>
        <w:pStyle w:val="FirstParagraph"/>
      </w:pPr>
      <w:r>
        <w:rPr>
          <w:b/>
          <w:bCs/>
        </w:rPr>
        <w:t xml:space="preserve">1) Port Arthur recovery (the biggest operational wildcard).</w:t>
      </w:r>
      <w:r>
        <w:t xml:space="preserve"> </w:t>
      </w:r>
      <w:r>
        <w:t xml:space="preserve">A March 23 fire in the diesel hydrotreater forced a full shutdown. Most units (crude, coker, hydrocrackers, FCC, alky) were restarted by ~May 1, but the</w:t>
      </w:r>
      <w:r>
        <w:t xml:space="preserve"> </w:t>
      </w:r>
      <w:r>
        <w:rPr>
          <w:b/>
          <w:bCs/>
        </w:rPr>
        <w:t xml:space="preserve">diesel hydrotreater sustained extensive damage (no rebuild timeline)</w:t>
      </w:r>
      <w:r>
        <w:t xml:space="preserve"> </w:t>
      </w:r>
      <w:r>
        <w:t xml:space="preserve">and an adjacent kerosene hydrotreater was expected back in Q3. Management warned this</w:t>
      </w:r>
      <w:r>
        <w:t xml:space="preserve"> </w:t>
      </w:r>
      <w:r>
        <w:rPr>
          <w:b/>
          <w:bCs/>
        </w:rPr>
        <w:t xml:space="preserve">could dent capture rates in Q2</w:t>
      </w:r>
      <w:r>
        <w:t xml:space="preserve">. Costs should be insured (net of deductibles), but watch for updated capex guidance and any restart-timeline color — a lingering hydrotreater outage in a distillate-short world is a real opportunity cost.</w:t>
      </w:r>
    </w:p>
    <w:p>
      <w:pPr>
        <w:pStyle w:val="BodyText"/>
      </w:pPr>
      <w:r>
        <w:rPr>
          <w:b/>
          <w:bCs/>
        </w:rPr>
        <w:t xml:space="preserve">2) The California exit is now largely done.</w:t>
      </w:r>
      <w:r>
        <w:t xml:space="preserve"> </w:t>
      </w:r>
      <w:r>
        <w:t xml:space="preserve">Benicia's refining operations were ceased in April 2026; VLO now operates</w:t>
      </w:r>
      <w:r>
        <w:t xml:space="preserve"> </w:t>
      </w:r>
      <w:r>
        <w:rPr>
          <w:b/>
          <w:bCs/>
        </w:rPr>
        <w:t xml:space="preserve">14 refineries (~3.0 MMbpd)</w:t>
      </w:r>
      <w:r>
        <w:t xml:space="preserve"> </w:t>
      </w:r>
      <w:r>
        <w:t xml:space="preserve">vs. 15/3.2 MMbpd a year ago. West Coast is now a small stub (120–130 kbpd). Expect continued questions on Wilmington's fate and any residual California policy/impairment items.</w:t>
      </w:r>
    </w:p>
    <w:p>
      <w:pPr>
        <w:pStyle w:val="BodyText"/>
      </w:pPr>
      <w:r>
        <w:rPr>
          <w:b/>
          <w:bCs/>
        </w:rPr>
        <w:t xml:space="preserve">3) Buyback firepower just got refreshed.</w:t>
      </w:r>
      <w:r>
        <w:t xml:space="preserve"> </w:t>
      </w:r>
      <w:r>
        <w:t xml:space="preserve">On **July 16 the board approved a new</w:t>
      </w:r>
      <w:r>
        <w:t xml:space="preserve"> </w:t>
      </w:r>
      <m:oMath>
        <m:r>
          <m:t>5</m:t>
        </m:r>
        <m:r>
          <m:t>B</m:t>
        </m:r>
        <m:r>
          <m:t>r</m:t>
        </m:r>
        <m:r>
          <m:t>e</m:t>
        </m:r>
        <m:r>
          <m:t>p</m:t>
        </m:r>
        <m:r>
          <m:t>u</m:t>
        </m:r>
        <m:r>
          <m:t>r</m:t>
        </m:r>
        <m:r>
          <m:t>c</m:t>
        </m:r>
        <m:r>
          <m:t>h</m:t>
        </m:r>
        <m:r>
          <m:t>a</m:t>
        </m:r>
        <m:r>
          <m:t>s</m:t>
        </m:r>
        <m:r>
          <m:t>e</m:t>
        </m:r>
        <m:r>
          <m:t>a</m:t>
        </m:r>
        <m:r>
          <m:t>u</m:t>
        </m:r>
        <m:r>
          <m:t>t</m:t>
        </m:r>
        <m:r>
          <m:t>h</m:t>
        </m:r>
        <m:r>
          <m:t>o</m:t>
        </m:r>
        <m:r>
          <m:t>r</m:t>
        </m:r>
        <m:r>
          <m:t>i</m:t>
        </m:r>
        <m:r>
          <m:t>z</m:t>
        </m:r>
        <m:r>
          <m:t>a</m:t>
        </m:r>
        <m:r>
          <m:t>t</m:t>
        </m:r>
        <m:r>
          <m:t>i</m:t>
        </m:r>
        <m:r>
          <m:t>o</m:t>
        </m:r>
        <m:r>
          <m:t>n</m:t>
        </m:r>
        <m:r>
          <m:rPr>
            <m:sty m:val="p"/>
          </m:rPr>
          <m:t>*</m:t>
        </m:r>
        <m:r>
          <m:rPr>
            <m:sty m:val="p"/>
          </m:rPr>
          <m:t>*</m:t>
        </m:r>
        <m:r>
          <m:rPr>
            <m:sty m:val="p"/>
          </m:rPr>
          <m:t>—</m:t>
        </m:r>
        <m:r>
          <m:t>a</m:t>
        </m:r>
        <m:r>
          <m:t>s</m:t>
        </m:r>
        <m:r>
          <m:t>i</m:t>
        </m:r>
        <m:r>
          <m:t>g</m:t>
        </m:r>
        <m:r>
          <m:t>n</m:t>
        </m:r>
        <m:r>
          <m:t>a</m:t>
        </m:r>
        <m:r>
          <m:t>l</m:t>
        </m:r>
        <m:r>
          <m:t>i</m:t>
        </m:r>
        <m:r>
          <m:t>n</m:t>
        </m:r>
        <m:r>
          <m:t>t</m:t>
        </m:r>
        <m:r>
          <m:t>o</m:t>
        </m:r>
        <m:r>
          <m:t>t</m:t>
        </m:r>
        <m:r>
          <m:t>h</m:t>
        </m:r>
        <m:r>
          <m:t>e</m:t>
        </m:r>
        <m:r>
          <m:t>e</m:t>
        </m:r>
        <m:r>
          <m:t>a</m:t>
        </m:r>
        <m:r>
          <m:t>r</m:t>
        </m:r>
        <m:r>
          <m:t>n</m:t>
        </m:r>
        <m:r>
          <m:t>i</m:t>
        </m:r>
        <m:r>
          <m:t>n</m:t>
        </m:r>
        <m:r>
          <m:t>g</m:t>
        </m:r>
        <m:r>
          <m:t>s</m:t>
        </m:r>
        <m:r>
          <m:rPr>
            <m:sty m:val="p"/>
          </m:rPr>
          <m:t>,</m:t>
        </m:r>
        <m:r>
          <m:t>a</m:t>
        </m:r>
        <m:r>
          <m:t>n</m:t>
        </m:r>
        <m:r>
          <m:t>d</m:t>
        </m:r>
        <m:r>
          <m:t>r</m:t>
        </m:r>
        <m:r>
          <m:t>o</m:t>
        </m:r>
        <m:r>
          <m:t>u</m:t>
        </m:r>
        <m:r>
          <m:t>g</m:t>
        </m:r>
        <m:r>
          <m:t>h</m:t>
        </m:r>
        <m:r>
          <m:t>l</m:t>
        </m:r>
        <m:r>
          <m:t>y</m:t>
        </m:r>
        <m:r>
          <m:t> </m:t>
        </m:r>
        <m:r>
          <m:t>5</m:t>
        </m:r>
        <m:r>
          <m:rPr>
            <m:sty m:val="p"/>
          </m:rPr>
          <m:t>–</m:t>
        </m:r>
        <m:r>
          <m:t>6</m:t>
        </m:r>
      </m:oMath>
      <w:r>
        <w:t xml:space="preserve">90B market cap. With ~298M shares (down 42% since 2014), CFO Homer Bhullar has been explicit that excess free cash returns via buyback in this windfall. Watch the</w:t>
      </w:r>
      <w:r>
        <w:t xml:space="preserve"> </w:t>
      </w:r>
      <w:r>
        <w:rPr>
          <w:b/>
          <w:bCs/>
        </w:rPr>
        <w:t xml:space="preserve">payout ratio</w:t>
      </w:r>
      <w:r>
        <w:t xml:space="preserve"> </w:t>
      </w:r>
      <w:r>
        <w:t xml:space="preserve">(59% in Q1) and cash level — VLO deliberately moved toward the high end of its $4–5B minimum-cash target for optionality.</w:t>
      </w:r>
    </w:p>
    <w:p>
      <w:pPr>
        <w:pStyle w:val="BodyText"/>
      </w:pPr>
      <w:r>
        <w:rPr>
          <w:b/>
          <w:bCs/>
        </w:rPr>
        <w:t xml:space="preserve">4) Fortress balance sheet.</w:t>
      </w:r>
      <w:r>
        <w:t xml:space="preserve"> </w:t>
      </w:r>
      <w:r>
        <w:t xml:space="preserve">Q1 ended with</w:t>
      </w:r>
      <w:r>
        <w:t xml:space="preserve"> </w:t>
      </w:r>
      <m:oMath>
        <m:r>
          <m:t>5.7</m:t>
        </m:r>
        <m:r>
          <m:t>B</m:t>
        </m:r>
        <m:r>
          <m:t>c</m:t>
        </m:r>
        <m:r>
          <m:t>a</m:t>
        </m:r>
        <m:r>
          <m:t>s</m:t>
        </m:r>
        <m:r>
          <m:t>h</m:t>
        </m:r>
        <m:r>
          <m:rPr>
            <m:sty m:val="p"/>
          </m:rPr>
          <m:t>,</m:t>
        </m:r>
        <m:r>
          <m:t> </m:t>
        </m:r>
      </m:oMath>
      <w:r>
        <w:t xml:space="preserve">11B total liquidity, 18% net debt/cap, and they pre-funded 2026 maturities at a record-low spread. Dividend was raised 6% to</w:t>
      </w:r>
      <w:r>
        <w:t xml:space="preserve"> </w:t>
      </w:r>
      <w:r>
        <w:rPr>
          <w:b/>
          <w:bCs/>
        </w:rPr>
        <w:t xml:space="preserve">$1.20/qtr</w:t>
      </w:r>
      <w:r>
        <w:t xml:space="preserve"> </w:t>
      </w:r>
      <w:r>
        <w:t xml:space="preserve">in January. Little balance-sheet risk here; the story is capital return + margin capture.</w:t>
      </w:r>
    </w:p>
    <w:p>
      <w:pPr>
        <w:pStyle w:val="BodyText"/>
      </w:pPr>
      <w:r>
        <w:rPr>
          <w:b/>
          <w:bCs/>
        </w:rPr>
        <w:t xml:space="preserve">5) Non-refining segments turning supportive.</w:t>
      </w:r>
    </w:p>
    <w:p>
      <w:pPr>
        <w:pStyle w:val="Compact"/>
        <w:numPr>
          <w:ilvl w:val="0"/>
          <w:numId w:val="1003"/>
        </w:numPr>
      </w:pPr>
      <w:r>
        <w:rPr>
          <w:b/>
          <w:bCs/>
        </w:rPr>
        <w:t xml:space="preserve">Renewable Diesel (DGD):</w:t>
      </w:r>
      <w:r>
        <w:t xml:space="preserve"> </w:t>
      </w:r>
      <w:r>
        <w:t xml:space="preserve">swung to $139M operating income in Q1 (from a loss); management guided</w:t>
      </w:r>
      <w:r>
        <w:t xml:space="preserve"> </w:t>
      </w:r>
      <w:r>
        <w:rPr>
          <w:b/>
          <w:bCs/>
        </w:rPr>
        <w:t xml:space="preserve">better 2026 vs. 2025</w:t>
      </w:r>
      <w:r>
        <w:t xml:space="preserve"> </w:t>
      </w:r>
      <w:r>
        <w:t xml:space="preserve">on a strong RVO/RIN tailwind, though rising feedstock prices create mark-to-market noise. SAF optionality remains policy-dependent.</w:t>
      </w:r>
    </w:p>
    <w:p>
      <w:pPr>
        <w:pStyle w:val="Compact"/>
        <w:numPr>
          <w:ilvl w:val="0"/>
          <w:numId w:val="1003"/>
        </w:numPr>
      </w:pPr>
      <w:r>
        <w:rPr>
          <w:b/>
          <w:bCs/>
        </w:rPr>
        <w:t xml:space="preserve">Ethanol:</w:t>
      </w:r>
      <w:r>
        <w:t xml:space="preserve"> </w:t>
      </w:r>
      <w:r>
        <w:t xml:space="preserve">$90M in Q1; ethanol is now "the cheapest form of octane in the world" globally, plus potential 45Z PTC upside ($</w:t>
      </w:r>
      <w:r>
        <w:t xml:space="preserve">0.10/gal booked on 10 plants in Q1, with a possible incremental $0.10–0.20 once guidance is finalized).</w:t>
      </w:r>
    </w:p>
    <w:p>
      <w:pPr>
        <w:pStyle w:val="FirstParagraph"/>
      </w:pPr>
      <w:r>
        <w:rPr>
          <w:b/>
          <w:bCs/>
        </w:rPr>
        <w:t xml:space="preserve">6) St. Charles FCC optimization</w:t>
      </w:r>
      <w:r>
        <w:t xml:space="preserve"> </w:t>
      </w:r>
      <w:r>
        <w:t xml:space="preserve">($230M, alkylate/high-value yield uplift) is on track to start up in</w:t>
      </w:r>
      <w:r>
        <w:t xml:space="preserve"> </w:t>
      </w:r>
      <w:r>
        <w:rPr>
          <w:b/>
          <w:bCs/>
        </w:rPr>
        <w:t xml:space="preserve">Q3 2026</w:t>
      </w:r>
      <w:r>
        <w:t xml:space="preserve"> </w:t>
      </w:r>
      <w:r>
        <w:t xml:space="preserve">— a near-term earnings-capacity catalyst.</w:t>
      </w:r>
    </w:p>
    <w:p>
      <w:r>
        <w:pict>
          <v:rect style="width:0;height:1.5pt" o:hralign="center" o:hrstd="t" o:hr="t"/>
        </w:pict>
      </w:r>
    </w:p>
    <w:bookmarkEnd w:id="13"/>
    <w:bookmarkStart w:id="14" w:name="stock--positioning-context"/>
    <w:p>
      <w:pPr>
        <w:pStyle w:val="Heading2"/>
      </w:pPr>
      <w:r>
        <w:t xml:space="preserve">Stock / positioning context</w:t>
      </w:r>
    </w:p>
    <w:p>
      <w:pPr>
        <w:pStyle w:val="FirstParagraph"/>
      </w:pPr>
      <w:r>
        <w:t xml:space="preserve">VLO has roughly doubled off January lows (~</w:t>
      </w:r>
      <m:oMath>
        <m:r>
          <m:t>165</m:t>
        </m:r>
        <m:r>
          <m:rPr>
            <m:sty m:val="p"/>
          </m:rPr>
          <m:t>→</m:t>
        </m:r>
        <m:r>
          <m:t> </m:t>
        </m:r>
      </m:oMath>
      <w:r>
        <w:t xml:space="preserve">303), peaking around $313–315 in mid-July before a modest pullback. It has tracked peers</w:t>
      </w:r>
      <w:r>
        <w:t xml:space="preserve"> </w:t>
      </w:r>
      <w:r>
        <w:rPr>
          <w:b/>
          <w:bCs/>
        </w:rPr>
        <w:t xml:space="preserve">MPC and PSX</w:t>
      </w:r>
      <w:r>
        <w:t xml:space="preserve"> </w:t>
      </w:r>
      <w:r>
        <w:t xml:space="preserve">but the whole complex has re-rated hard on the Hormuz shock. That's the crux of the setup:</w:t>
      </w:r>
      <w:r>
        <w:t xml:space="preserve"> </w:t>
      </w:r>
      <w:r>
        <w:rPr>
          <w:b/>
          <w:bCs/>
        </w:rPr>
        <w:t xml:space="preserve">a likely blowout quarter against a stock that has already run to all-time highs</w:t>
      </w:r>
      <w:r>
        <w:t xml:space="preserve">. A strong print may not be enough — the market will be laser-focused on</w:t>
      </w:r>
      <w:r>
        <w:t xml:space="preserve"> </w:t>
      </w:r>
      <w:r>
        <w:rPr>
          <w:b/>
          <w:bCs/>
        </w:rPr>
        <w:t xml:space="preserve">Q3 guidance, capture-rate durability, and Port Arthur</w:t>
      </w:r>
      <w:r>
        <w:t xml:space="preserve"> </w:t>
      </w:r>
      <w:r>
        <w:t xml:space="preserve">as tells for whether the windfall persists.</w:t>
      </w:r>
    </w:p>
    <w:p>
      <w:r>
        <w:pict>
          <v:rect style="width:0;height:1.5pt" o:hralign="center" o:hrstd="t" o:hr="t"/>
        </w:pict>
      </w:r>
    </w:p>
    <w:bookmarkEnd w:id="14"/>
    <w:bookmarkStart w:id="15" w:name="what-ill-be-watching-on-the-call"/>
    <w:p>
      <w:pPr>
        <w:pStyle w:val="Heading2"/>
      </w:pPr>
      <w:r>
        <w:t xml:space="preserve">What I'll be watching on the call</w:t>
      </w:r>
    </w:p>
    <w:p>
      <w:pPr>
        <w:pStyle w:val="Compact"/>
        <w:numPr>
          <w:ilvl w:val="0"/>
          <w:numId w:val="1004"/>
        </w:numPr>
      </w:pPr>
      <w:r>
        <w:rPr>
          <w:b/>
          <w:bCs/>
        </w:rPr>
        <w:t xml:space="preserve">Realized capture vs. indicators</w:t>
      </w:r>
      <w:r>
        <w:t xml:space="preserve"> </w:t>
      </w:r>
      <w:r>
        <w:t xml:space="preserve">— did backwardation eat into the huge headline cracks?</w:t>
      </w:r>
    </w:p>
    <w:p>
      <w:pPr>
        <w:pStyle w:val="Compact"/>
        <w:numPr>
          <w:ilvl w:val="0"/>
          <w:numId w:val="1004"/>
        </w:numPr>
      </w:pPr>
      <w:r>
        <w:rPr>
          <w:b/>
          <w:bCs/>
        </w:rPr>
        <w:t xml:space="preserve">Q3 throughput guidance</w:t>
      </w:r>
      <w:r>
        <w:t xml:space="preserve"> </w:t>
      </w:r>
      <w:r>
        <w:t xml:space="preserve">— Port Arthur hydrotreater timeline + St. Charles FCC ramp.</w:t>
      </w:r>
    </w:p>
    <w:p>
      <w:pPr>
        <w:pStyle w:val="Compact"/>
        <w:numPr>
          <w:ilvl w:val="0"/>
          <w:numId w:val="1004"/>
        </w:numPr>
      </w:pPr>
      <w:r>
        <w:rPr>
          <w:b/>
          <w:bCs/>
        </w:rPr>
        <w:t xml:space="preserve">Buyback pace</w:t>
      </w:r>
      <w:r>
        <w:t xml:space="preserve"> </w:t>
      </w:r>
      <w:r>
        <w:t xml:space="preserve">— how aggressively they deploy the new $5B (and payout ratio).</w:t>
      </w:r>
    </w:p>
    <w:p>
      <w:pPr>
        <w:pStyle w:val="Compact"/>
        <w:numPr>
          <w:ilvl w:val="0"/>
          <w:numId w:val="1004"/>
        </w:numPr>
      </w:pPr>
      <w:r>
        <w:rPr>
          <w:b/>
          <w:bCs/>
        </w:rPr>
        <w:t xml:space="preserve">Management's mid-cycle framing</w:t>
      </w:r>
      <w:r>
        <w:t xml:space="preserve"> </w:t>
      </w:r>
      <w:r>
        <w:t xml:space="preserve">— do they lift the conservative mid-cycle assumption after two consecutive supply shocks, or hold discipline?</w:t>
      </w:r>
    </w:p>
    <w:p>
      <w:pPr>
        <w:pStyle w:val="Compact"/>
        <w:numPr>
          <w:ilvl w:val="0"/>
          <w:numId w:val="1004"/>
        </w:numPr>
      </w:pPr>
      <w:r>
        <w:rPr>
          <w:b/>
          <w:bCs/>
        </w:rPr>
        <w:t xml:space="preserve">Distillate/jet commentary</w:t>
      </w:r>
      <w:r>
        <w:t xml:space="preserve"> </w:t>
      </w:r>
      <w:r>
        <w:t xml:space="preserve">— VLO pushed jet to &gt;30% of distillate yield in March; incremental capacity to chase the jet shortage is a margin lever.</w:t>
      </w:r>
    </w:p>
    <w:p>
      <w:pPr>
        <w:pStyle w:val="Compact"/>
        <w:numPr>
          <w:ilvl w:val="0"/>
          <w:numId w:val="1004"/>
        </w:numPr>
      </w:pPr>
      <w:r>
        <w:rPr>
          <w:b/>
          <w:bCs/>
        </w:rPr>
        <w:t xml:space="preserve">RD/ethanol policy</w:t>
      </w:r>
      <w:r>
        <w:t xml:space="preserve"> </w:t>
      </w:r>
      <w:r>
        <w:t xml:space="preserve">— 45Z ethanol PTC quantification and RVO trajectory.</w:t>
      </w:r>
    </w:p>
    <w:p>
      <w:pPr>
        <w:pStyle w:val="FirstParagraph"/>
      </w:pPr>
      <w:r>
        <w:rPr>
          <w:b/>
          <w:bCs/>
        </w:rPr>
        <w:t xml:space="preserve">Net:</w:t>
      </w:r>
      <w:r>
        <w:t xml:space="preserve"> </w:t>
      </w:r>
      <w:r>
        <w:t xml:space="preserve">Expect the numbers to be very strong y/y and q/q. The reaction hinges on capture quality, Port Arthur, and forward guidance — not the headline EPS.</w:t>
      </w:r>
    </w:p>
    <w:p>
      <w:r>
        <w:pict>
          <v:rect style="width:0;height:1.5pt" o:hralign="center" o:hrstd="t" o:hr="t"/>
        </w:pict>
      </w:r>
    </w:p>
    <w:p>
      <w:pPr>
        <w:pStyle w:val="FirstParagraph"/>
      </w:pPr>
      <w:r>
        <w:rPr>
          <w:i/>
          <w:iCs/>
        </w:rPr>
        <w:t xml:space="preserve">Preview based on VLO's Q1 2026 earnings release/call, Q2 2025 results, the July 16, 2026 buyback 8-K, recent energy-sector news, and price data through July 29, 2026. Figures for the quarter being reported are estimates/guidance, not actuals.</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2026-07-29T18:44:01Z</dcterms:created>
  <dcterms:modified xsi:type="dcterms:W3CDTF">2026-07-29T18:44:01Z</dcterms:modified>
</cp:coreProperties>
</file>

<file path=docProps/custom.xml><?xml version="1.0" encoding="utf-8"?>
<Properties xmlns="http://schemas.openxmlformats.org/officeDocument/2006/custom-properties" xmlns:vt="http://schemas.openxmlformats.org/officeDocument/2006/docPropsVTypes"/>
</file>