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a0e83cf9ebae6e386d955025a603c763b27f3ea"/>
    <w:p>
      <w:pPr>
        <w:pStyle w:val="Heading1"/>
      </w:pPr>
      <w:r>
        <w:t xml:space="preserve">Valero Energy (VLO) — Q2 2026 Earnings Preview</w:t>
      </w:r>
    </w:p>
    <w:p>
      <w:pPr>
        <w:pStyle w:val="FirstParagraph"/>
      </w:pPr>
      <w:r>
        <w:rPr>
          <w:b/>
          <w:bCs/>
        </w:rPr>
        <w:t xml:space="preserve">Reporting: Thursday, July 30, 2026, before market open | Call at 10:00 AM ET</w:t>
      </w:r>
    </w:p>
    <w:bookmarkStart w:id="9" w:name="setup-a-blockbuster-macro-backdrop"/>
    <w:p>
      <w:pPr>
        <w:pStyle w:val="Heading2"/>
      </w:pPr>
      <w:r>
        <w:t xml:space="preserve">Setup: A Blockbuster Macro Backdrop</w:t>
      </w:r>
    </w:p>
    <w:p>
      <w:pPr>
        <w:pStyle w:val="FirstParagraph"/>
      </w:pPr>
      <w:r>
        <w:t xml:space="preserve">Valero heads into this print amid arguably the strongest refining margin environment in years. Renewed U.S.-Iran hostilities and disruptions tied to the Strait of Hormuz have tightened global product markets sharply, and just yesterday oil surged more than 7.5% after a pause in U.S.-Iran attacks ended, with strikes in Iraq/Jordan pushing crude above $85/barrel and dimming hopes for near-term de-escalation. The benchmark 3-2-1 crack spread — refiners' key profitability gauge — has been running at record or near-record levels through the quarter, and refiner equities (Valero, Marathon Petroleum, HF Sinclair) have been among 2026's biggest stock-market winners as a result. VLO shares have moved from roughly $241 in early April to the</w:t>
      </w:r>
      <w:r>
        <w:t xml:space="preserve"> </w:t>
      </w:r>
      <m:oMath>
        <m:r>
          <m:t>300</m:t>
        </m:r>
        <m:r>
          <m:rPr>
            <m:sty m:val="p"/>
          </m:rPr>
          <m:t>–</m:t>
        </m:r>
      </m:oMath>
      <w:r>
        <w:t xml:space="preserve">320 range in July, including a run to an all-time high near $320 before pulling back modestly into the print.</w:t>
      </w:r>
    </w:p>
    <w:bookmarkEnd w:id="9"/>
    <w:bookmarkStart w:id="10" w:name="what-wall-street-expects"/>
    <w:p>
      <w:pPr>
        <w:pStyle w:val="Heading2"/>
      </w:pPr>
      <w:r>
        <w:t xml:space="preserve">What Wall Street Expects</w:t>
      </w:r>
    </w:p>
    <w:p>
      <w:pPr>
        <w:pStyle w:val="FirstParagraph"/>
      </w:pPr>
      <w:r>
        <w:t xml:space="preserve">Estimates have been revised sharply higher into the quarter:</w:t>
      </w:r>
    </w:p>
    <w:p>
      <w:pPr>
        <w:pStyle w:val="Compact"/>
        <w:numPr>
          <w:ilvl w:val="0"/>
          <w:numId w:val="1001"/>
        </w:numPr>
      </w:pPr>
      <w:r>
        <w:rPr>
          <w:b/>
          <w:bCs/>
        </w:rPr>
        <w:t xml:space="preserve">EPS:</w:t>
      </w:r>
      <w:r>
        <w:t xml:space="preserve"> </w:t>
      </w:r>
      <w:r>
        <w:t xml:space="preserve">Consensus sits around</w:t>
      </w:r>
      <w:r>
        <w:t xml:space="preserve"> </w:t>
      </w:r>
      <m:oMath>
        <m:r>
          <m:t>9.87</m:t>
        </m:r>
        <m:r>
          <m:rPr>
            <m:sty m:val="p"/>
          </m:rPr>
          <m:t>–</m:t>
        </m:r>
      </m:oMath>
      <w:r>
        <w:rPr>
          <w:b/>
          <w:bCs/>
        </w:rPr>
        <w:t xml:space="preserve">10.13</w:t>
      </w:r>
      <w:r>
        <w:t xml:space="preserve"> </w:t>
      </w:r>
      <w:r>
        <w:t xml:space="preserve">(Zacks/other trackers), implying roughly a</w:t>
      </w:r>
      <w:r>
        <w:t xml:space="preserve"> </w:t>
      </w:r>
      <w:r>
        <w:rPr>
          <w:b/>
          <w:bCs/>
        </w:rPr>
        <w:t xml:space="preserve">330%+ year-over-year increase</w:t>
      </w:r>
      <w:r>
        <w:t xml:space="preserve"> </w:t>
      </w:r>
      <w:r>
        <w:t xml:space="preserve">versus the $2.28 adjusted EPS a year ago; some services flag the consensus EPS estimate has been revised over 30–60% higher in just the past 30 days as crack spreads spiked.</w:t>
      </w:r>
    </w:p>
    <w:p>
      <w:pPr>
        <w:pStyle w:val="Compact"/>
        <w:numPr>
          <w:ilvl w:val="0"/>
          <w:numId w:val="1001"/>
        </w:numPr>
      </w:pPr>
      <w:r>
        <w:rPr>
          <w:b/>
          <w:bCs/>
        </w:rPr>
        <w:t xml:space="preserve">Revenue:</w:t>
      </w:r>
      <w:r>
        <w:t xml:space="preserve"> </w:t>
      </w:r>
      <w:r>
        <w:t xml:space="preserve">Consensus is roughly</w:t>
      </w:r>
      <w:r>
        <w:t xml:space="preserve"> </w:t>
      </w:r>
      <m:oMath>
        <m:r>
          <m:t>35.95</m:t>
        </m:r>
        <m:r>
          <m:t>B</m:t>
        </m:r>
        <m:r>
          <m:rPr>
            <m:sty m:val="p"/>
          </m:rPr>
          <m:t>–</m:t>
        </m:r>
      </m:oMath>
      <w:r>
        <w:rPr>
          <w:b/>
          <w:bCs/>
        </w:rPr>
        <w:t xml:space="preserve">39.5B</w:t>
      </w:r>
      <w:r>
        <w:t xml:space="preserve">, up ~20% year-over-year.</w:t>
      </w:r>
    </w:p>
    <w:p>
      <w:pPr>
        <w:pStyle w:val="Compact"/>
        <w:numPr>
          <w:ilvl w:val="0"/>
          <w:numId w:val="1001"/>
        </w:numPr>
      </w:pPr>
      <w:r>
        <w:rPr>
          <w:b/>
          <w:bCs/>
        </w:rPr>
        <w:t xml:space="preserve">Refining margin:</w:t>
      </w:r>
      <w:r>
        <w:t xml:space="preserve"> </w:t>
      </w:r>
      <w:r>
        <w:t xml:space="preserve">Analysts model refining margin per barrel of throughput around</w:t>
      </w:r>
      <w:r>
        <w:t xml:space="preserve"> </w:t>
      </w:r>
      <w:r>
        <w:rPr>
          <w:b/>
          <w:bCs/>
        </w:rPr>
        <w:t xml:space="preserve">$21.70</w:t>
      </w:r>
      <w:r>
        <w:t xml:space="preserve">, nearly double the year-ago</w:t>
      </w:r>
      <w:r>
        <w:t xml:space="preserve"> </w:t>
      </w:r>
      <m:oMath>
        <m:r>
          <m:t>12.35</m:t>
        </m:r>
        <m:r>
          <m:rPr>
            <m:sty m:val="p"/>
          </m:rPr>
          <m:t>,</m:t>
        </m:r>
        <m:r>
          <m:t>w</m:t>
        </m:r>
        <m:r>
          <m:t>i</m:t>
        </m:r>
        <m:r>
          <m:t>t</m:t>
        </m:r>
        <m:r>
          <m:t>h</m:t>
        </m:r>
        <m:r>
          <m:t>r</m:t>
        </m:r>
        <m:r>
          <m:t>e</m:t>
        </m:r>
        <m:r>
          <m:t>g</m:t>
        </m:r>
        <m:r>
          <m:t>i</m:t>
        </m:r>
        <m:r>
          <m:t>o</m:t>
        </m:r>
        <m:r>
          <m:t>n</m:t>
        </m:r>
        <m:r>
          <m:t>a</m:t>
        </m:r>
        <m:r>
          <m:t>l</m:t>
        </m:r>
        <m:r>
          <m:t>s</m:t>
        </m:r>
        <m:r>
          <m:t>t</m:t>
        </m:r>
        <m:r>
          <m:t>r</m:t>
        </m:r>
        <m:r>
          <m:t>e</m:t>
        </m:r>
        <m:r>
          <m:t>n</m:t>
        </m:r>
        <m:r>
          <m:t>g</m:t>
        </m:r>
        <m:r>
          <m:t>t</m:t>
        </m:r>
        <m:r>
          <m:t>h</m:t>
        </m:r>
        <m:r>
          <m:t>l</m:t>
        </m:r>
        <m:r>
          <m:t>e</m:t>
        </m:r>
        <m:r>
          <m:t>d</m:t>
        </m:r>
        <m:r>
          <m:t>b</m:t>
        </m:r>
        <m:r>
          <m:t>y</m:t>
        </m:r>
        <m:r>
          <m:t>M</m:t>
        </m:r>
        <m:r>
          <m:t>i</m:t>
        </m:r>
        <m:r>
          <m:t>d</m:t>
        </m:r>
        <m:r>
          <m:rPr>
            <m:sty m:val="p"/>
          </m:rPr>
          <m:t>−</m:t>
        </m:r>
        <m:r>
          <m:t>C</m:t>
        </m:r>
        <m:r>
          <m:t>o</m:t>
        </m:r>
        <m:r>
          <m:t>n</m:t>
        </m:r>
        <m:r>
          <m:t>t</m:t>
        </m:r>
        <m:r>
          <m:t>i</m:t>
        </m:r>
        <m:r>
          <m:t>n</m:t>
        </m:r>
        <m:r>
          <m:t>e</m:t>
        </m:r>
        <m:r>
          <m:t>n</m:t>
        </m:r>
        <m:r>
          <m:t>t</m:t>
        </m:r>
        <m:r>
          <m:rPr>
            <m:sty m:val="p"/>
          </m:rPr>
          <m:t>(</m:t>
        </m:r>
        <m:r>
          <m:t> </m:t>
        </m:r>
      </m:oMath>
      <w:r>
        <w:t xml:space="preserve">19.37 vs.</w:t>
      </w:r>
      <w:r>
        <w:t xml:space="preserve"> </w:t>
      </w:r>
      <m:oMath>
        <m:r>
          <m:t>10.52</m:t>
        </m:r>
        <m:r>
          <m:t>a</m:t>
        </m:r>
        <m:r>
          <m:t>y</m:t>
        </m:r>
        <m:r>
          <m:t>e</m:t>
        </m:r>
        <m:r>
          <m:t>a</m:t>
        </m:r>
        <m:r>
          <m:t>r</m:t>
        </m:r>
        <m:r>
          <m:t>a</m:t>
        </m:r>
        <m:r>
          <m:t>g</m:t>
        </m:r>
        <m:r>
          <m:t>o</m:t>
        </m:r>
        <m:r>
          <m:rPr>
            <m:sty m:val="p"/>
          </m:rPr>
          <m:t>)</m:t>
        </m:r>
        <m:r>
          <m:t>a</m:t>
        </m:r>
        <m:r>
          <m:t>n</m:t>
        </m:r>
        <m:r>
          <m:t>d</m:t>
        </m:r>
        <m:r>
          <m:t>N</m:t>
        </m:r>
        <m:r>
          <m:t>o</m:t>
        </m:r>
        <m:r>
          <m:t>r</m:t>
        </m:r>
        <m:r>
          <m:t>t</m:t>
        </m:r>
        <m:r>
          <m:t>h</m:t>
        </m:r>
        <m:r>
          <m:t>A</m:t>
        </m:r>
        <m:r>
          <m:t>t</m:t>
        </m:r>
        <m:r>
          <m:t>l</m:t>
        </m:r>
        <m:r>
          <m:t>a</m:t>
        </m:r>
        <m:r>
          <m:t>n</m:t>
        </m:r>
        <m:r>
          <m:t>t</m:t>
        </m:r>
        <m:r>
          <m:t>i</m:t>
        </m:r>
        <m:r>
          <m:t>c</m:t>
        </m:r>
        <m:r>
          <m:rPr>
            <m:sty m:val="p"/>
          </m:rPr>
          <m:t>(</m:t>
        </m:r>
        <m:r>
          <m:t> </m:t>
        </m:r>
      </m:oMath>
      <w:r>
        <w:t xml:space="preserve">20.24 vs. $13.20).</w:t>
      </w:r>
    </w:p>
    <w:p>
      <w:pPr>
        <w:pStyle w:val="Compact"/>
        <w:numPr>
          <w:ilvl w:val="0"/>
          <w:numId w:val="1001"/>
        </w:numPr>
      </w:pPr>
      <w:r>
        <w:t xml:space="preserve">Valero has beaten consensus EPS in each of the trailing quarters (last quarter's $4.22 actual beat a $3.16 estimate by ~34–37%), and some models see the "most accurate estimate" running slightly below consensus — a modestly cautious signal even in a strong setup.</w:t>
      </w:r>
    </w:p>
    <w:p>
      <w:pPr>
        <w:pStyle w:val="Compact"/>
        <w:numPr>
          <w:ilvl w:val="0"/>
          <w:numId w:val="1001"/>
        </w:numPr>
      </w:pPr>
      <w:r>
        <w:t xml:space="preserve">Full-year 2026 EPS consensus is around</w:t>
      </w:r>
      <w:r>
        <w:t xml:space="preserve"> </w:t>
      </w:r>
      <m:oMath>
        <m:r>
          <m:t>36</m:t>
        </m:r>
        <m:r>
          <m:rPr>
            <m:sty m:val="p"/>
          </m:rPr>
          <m:t>,</m:t>
        </m:r>
        <m:r>
          <m:t>w</m:t>
        </m:r>
        <m:r>
          <m:t>i</m:t>
        </m:r>
        <m:r>
          <m:t>t</m:t>
        </m:r>
        <m:r>
          <m:t>h</m:t>
        </m:r>
        <m:r>
          <m:t>F</m:t>
        </m:r>
        <m:r>
          <m:t>Y</m:t>
        </m:r>
        <m:r>
          <m:t>2027</m:t>
        </m:r>
        <m:r>
          <m:t>e</m:t>
        </m:r>
        <m:r>
          <m:t>x</m:t>
        </m:r>
        <m:r>
          <m:t>p</m:t>
        </m:r>
        <m:r>
          <m:t>e</m:t>
        </m:r>
        <m:r>
          <m:t>c</m:t>
        </m:r>
        <m:r>
          <m:t>t</m:t>
        </m:r>
        <m:r>
          <m:t>e</m:t>
        </m:r>
        <m:r>
          <m:t>d</m:t>
        </m:r>
        <m:r>
          <m:t>t</m:t>
        </m:r>
        <m:r>
          <m:t>o</m:t>
        </m:r>
        <m:r>
          <m:t>n</m:t>
        </m:r>
        <m:r>
          <m:t>o</m:t>
        </m:r>
        <m:r>
          <m:t>r</m:t>
        </m:r>
        <m:r>
          <m:t>m</m:t>
        </m:r>
        <m:r>
          <m:t>a</m:t>
        </m:r>
        <m:r>
          <m:t>l</m:t>
        </m:r>
        <m:r>
          <m:t>i</m:t>
        </m:r>
        <m:r>
          <m:t>z</m:t>
        </m:r>
        <m:r>
          <m:t>e</m:t>
        </m:r>
        <m:r>
          <m:t>m</m:t>
        </m:r>
        <m:r>
          <m:t>u</m:t>
        </m:r>
        <m:r>
          <m:t>c</m:t>
        </m:r>
        <m:r>
          <m:t>h</m:t>
        </m:r>
        <m:r>
          <m:t>l</m:t>
        </m:r>
        <m:r>
          <m:t>o</m:t>
        </m:r>
        <m:r>
          <m:t>w</m:t>
        </m:r>
        <m:r>
          <m:t>e</m:t>
        </m:r>
        <m:r>
          <m:t>r</m:t>
        </m:r>
        <m:r>
          <m:rPr>
            <m:sty m:val="p"/>
          </m:rPr>
          <m:t>(</m:t>
        </m:r>
        <m:r>
          <m:t> </m:t>
        </m:r>
      </m:oMath>
      <w:r>
        <w:t xml:space="preserve">24–27), underscoring how cycle-dependent current estimates are.</w:t>
      </w:r>
    </w:p>
    <w:bookmarkEnd w:id="10"/>
    <w:bookmarkStart w:id="11" w:name="q1-2026-recap--the-bridge-to-q2"/>
    <w:p>
      <w:pPr>
        <w:pStyle w:val="Heading2"/>
      </w:pPr>
      <w:r>
        <w:t xml:space="preserve">Q1 2026 Recap — The Bridge to Q2</w:t>
      </w:r>
    </w:p>
    <w:p>
      <w:pPr>
        <w:pStyle w:val="FirstParagraph"/>
      </w:pPr>
      <w:r>
        <w:t xml:space="preserve">Valero's first quarter set the stage: net income attributable to shareholders was $1.3 billion, or $4.22 per share, versus a net loss in the year-ago quarter; the Refining segment swung to $1.8 billion of operating income on throughput of 2.9 million barrels per day, with refining margin of $14.90/bbl. Management pointed to record jet yield, discounted heavy sour crude (Venezuelan barrels, wide Canadian heavy discounts), and disciplined hedging that kept inventories close to LIFO to minimize derivative volatility as key differentiators versus peers. Renewable Diesel and Ethanol also swung positive, with $139 million and $90 million of operating income, respectively.</w:t>
      </w:r>
    </w:p>
    <w:bookmarkEnd w:id="11"/>
    <w:bookmarkStart w:id="12" w:name="key-items-to-watch-in-the-q2-print"/>
    <w:p>
      <w:pPr>
        <w:pStyle w:val="Heading2"/>
      </w:pPr>
      <w:r>
        <w:t xml:space="preserve">Key Items to Watch in the Q2 Print</w:t>
      </w:r>
    </w:p>
    <w:p>
      <w:pPr>
        <w:pStyle w:val="FirstParagraph"/>
      </w:pPr>
      <w:r>
        <w:rPr>
          <w:b/>
          <w:bCs/>
        </w:rPr>
        <w:t xml:space="preserve">1. Capture rates vs. the crack spread rally.</w:t>
      </w:r>
      <w:r>
        <w:t xml:space="preserve"> </w:t>
      </w:r>
      <w:r>
        <w:t xml:space="preserve">Management flagged steep crude backwardation and physical-vs-futures market disconnects as headwinds to capture in Q2, even as heavy sour discounts, jet premiums, and secondary-product premiums provide tailwinds. The size of the beat (or miss) versus benchmark cracks will hinge heavily on how well Valero's commercial team navigated this dislocation.</w:t>
      </w:r>
    </w:p>
    <w:p>
      <w:pPr>
        <w:pStyle w:val="BodyText"/>
      </w:pPr>
      <w:r>
        <w:rPr>
          <w:b/>
          <w:bCs/>
        </w:rPr>
        <w:t xml:space="preserve">2. Port Arthur status.</w:t>
      </w:r>
      <w:r>
        <w:t xml:space="preserve"> </w:t>
      </w:r>
      <w:r>
        <w:t xml:space="preserve">The March 23 fire in the diesel hydrotreater knocked the 380,000 b/d refinery offline; most units (crude units, coker, hydrocrackers, reformer, distillate hydrotreater, FCC, alky) were restarted by early May, but the diesel hydrotreater and an adjacent kerosene hydrotreater remained down as of the Q1 call, with the kerosene unit expected back only in Q3 and no rebuild timeline yet for the diesel unit — a continued drag on Gulf Coast throughput and capture in Q2 (guided at 1.69–1.74 million b/d for the segment). Investors should listen for updated repair costs/timeline and insurance recovery commentary.</w:t>
      </w:r>
    </w:p>
    <w:p>
      <w:pPr>
        <w:pStyle w:val="BodyText"/>
      </w:pPr>
      <w:r>
        <w:rPr>
          <w:b/>
          <w:bCs/>
        </w:rPr>
        <w:t xml:space="preserve">3. Benicia exit and West Coast footprint.</w:t>
      </w:r>
      <w:r>
        <w:t xml:space="preserve"> </w:t>
      </w:r>
      <w:r>
        <w:t xml:space="preserve">Valero completed the idling of Benicia refining operations in April 2026, guided to just 120,000–130,000 b/d of West Coast throughput for Q2 — a structurally smaller West Coast presence going forward, with associated incremental D&amp;A (~</w:t>
      </w:r>
      <m:oMath>
        <m:r>
          <m:t>33</m:t>
        </m:r>
        <m:r>
          <m:t>m</m:t>
        </m:r>
        <m:r>
          <m:t>i</m:t>
        </m:r>
        <m:r>
          <m:t>l</m:t>
        </m:r>
        <m:r>
          <m:t>l</m:t>
        </m:r>
        <m:r>
          <m:t>i</m:t>
        </m:r>
        <m:r>
          <m:t>o</m:t>
        </m:r>
        <m:r>
          <m:t>n</m:t>
        </m:r>
        <m:r>
          <m:rPr>
            <m:sty m:val="p"/>
          </m:rPr>
          <m:t>,</m:t>
        </m:r>
        <m:r>
          <m:t> </m:t>
        </m:r>
      </m:oMath>
      <w:r>
        <w:t xml:space="preserve">0.09/share impact) still running through the quarter.</w:t>
      </w:r>
    </w:p>
    <w:p>
      <w:pPr>
        <w:pStyle w:val="BodyText"/>
      </w:pPr>
      <w:r>
        <w:rPr>
          <w:b/>
          <w:bCs/>
        </w:rPr>
        <w:t xml:space="preserve">4. Renewable Diesel (DGD) trajectory.</w:t>
      </w:r>
      <w:r>
        <w:t xml:space="preserve"> </w:t>
      </w:r>
      <w:r>
        <w:t xml:space="preserve">Management guided to ~320 million gallons of Q2 sales volume with a better 2026 than 2025 for DGD, though mark-to-market on forward feedstock positions is a swing factor if underlying commodity prices kept rising through the quarter; watch for RVO/45Z tailwind commentary and any policy updates.</w:t>
      </w:r>
    </w:p>
    <w:p>
      <w:pPr>
        <w:pStyle w:val="BodyText"/>
      </w:pPr>
      <w:r>
        <w:rPr>
          <w:b/>
          <w:bCs/>
        </w:rPr>
        <w:t xml:space="preserve">5. Capital returns.</w:t>
      </w:r>
      <w:r>
        <w:t xml:space="preserve"> </w:t>
      </w:r>
      <w:r>
        <w:t xml:space="preserve">Valero's board approved a new</w:t>
      </w:r>
      <w:r>
        <w:t xml:space="preserve"> </w:t>
      </w:r>
      <m:oMath>
        <m:r>
          <m:t>5</m:t>
        </m:r>
        <m:r>
          <m:t>b</m:t>
        </m:r>
        <m:r>
          <m:t>i</m:t>
        </m:r>
        <m:r>
          <m:t>l</m:t>
        </m:r>
        <m:r>
          <m:t>l</m:t>
        </m:r>
        <m:r>
          <m:t>i</m:t>
        </m:r>
        <m:r>
          <m:t>o</m:t>
        </m:r>
        <m:r>
          <m:t>n</m:t>
        </m:r>
        <m:r>
          <m:t>s</m:t>
        </m:r>
        <m:r>
          <m:t>t</m:t>
        </m:r>
        <m:r>
          <m:t>o</m:t>
        </m:r>
        <m:r>
          <m:t>c</m:t>
        </m:r>
        <m:r>
          <m:t>k</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o</m:t>
        </m:r>
        <m:r>
          <m:t>n</m:t>
        </m:r>
        <m:r>
          <m:t>J</m:t>
        </m:r>
        <m:r>
          <m:t>u</m:t>
        </m:r>
        <m:r>
          <m:t>l</m:t>
        </m:r>
        <m:r>
          <m:t>y</m:t>
        </m:r>
        <m:r>
          <m:t>16</m:t>
        </m:r>
        <m:r>
          <m:rPr>
            <m:sty m:val="p"/>
          </m:rPr>
          <m:t>,</m:t>
        </m:r>
        <m:r>
          <m:t>2026</m:t>
        </m:r>
        <m:r>
          <m:rPr>
            <m:sty m:val="p"/>
          </m:rPr>
          <m:t>,</m:t>
        </m:r>
        <m:r>
          <m:t>r</m:t>
        </m:r>
        <m:r>
          <m:t>e</m:t>
        </m:r>
        <m:r>
          <m:t>i</m:t>
        </m:r>
        <m:r>
          <m:t>n</m:t>
        </m:r>
        <m:r>
          <m:t>f</m:t>
        </m:r>
        <m:r>
          <m:t>o</m:t>
        </m:r>
        <m:r>
          <m:t>r</m:t>
        </m:r>
        <m:r>
          <m:t>c</m:t>
        </m:r>
        <m:r>
          <m:t>i</m:t>
        </m:r>
        <m:r>
          <m:t>n</m:t>
        </m:r>
        <m:r>
          <m:t>g</m:t>
        </m:r>
        <m:r>
          <m:t>t</m:t>
        </m:r>
        <m:r>
          <m:t>h</m:t>
        </m:r>
        <m:r>
          <m:t>e</m:t>
        </m:r>
        <m:r>
          <m:t>b</m:t>
        </m:r>
        <m:r>
          <m:t>u</m:t>
        </m:r>
        <m:r>
          <m:t>y</m:t>
        </m:r>
        <m:r>
          <m:t>b</m:t>
        </m:r>
        <m:r>
          <m:t>a</m:t>
        </m:r>
        <m:r>
          <m:t>c</m:t>
        </m:r>
        <m:r>
          <m:t>k</m:t>
        </m:r>
        <m:r>
          <m:rPr>
            <m:sty m:val="p"/>
          </m:rPr>
          <m:t>−</m:t>
        </m:r>
        <m:r>
          <m:t>h</m:t>
        </m:r>
        <m:r>
          <m:t>e</m:t>
        </m:r>
        <m:r>
          <m:t>a</m:t>
        </m:r>
        <m:r>
          <m:t>v</m:t>
        </m:r>
        <m:r>
          <m:t>y</m:t>
        </m:r>
        <m:r>
          <m:t>c</m:t>
        </m:r>
        <m:r>
          <m:t>a</m:t>
        </m:r>
        <m:r>
          <m:t>p</m:t>
        </m:r>
        <m:r>
          <m:t>i</m:t>
        </m:r>
        <m:r>
          <m:t>t</m:t>
        </m:r>
        <m:r>
          <m:t>a</m:t>
        </m:r>
        <m:r>
          <m:t>l</m:t>
        </m:r>
        <m:r>
          <m:t>a</m:t>
        </m:r>
        <m:r>
          <m:t>l</m:t>
        </m:r>
        <m:r>
          <m:t>l</m:t>
        </m:r>
        <m:r>
          <m:t>o</m:t>
        </m:r>
        <m:r>
          <m:t>c</m:t>
        </m:r>
        <m:r>
          <m:t>a</m:t>
        </m:r>
        <m:r>
          <m:t>t</m:t>
        </m:r>
        <m:r>
          <m:t>i</m:t>
        </m:r>
        <m:r>
          <m:t>o</m:t>
        </m:r>
        <m:r>
          <m:t>n</m:t>
        </m:r>
        <m:r>
          <m:t>f</m:t>
        </m:r>
        <m:r>
          <m:t>r</m:t>
        </m:r>
        <m:r>
          <m:t>a</m:t>
        </m:r>
        <m:r>
          <m:t>m</m:t>
        </m:r>
        <m:r>
          <m:t>e</m:t>
        </m:r>
        <m:r>
          <m:t>w</m:t>
        </m:r>
        <m:r>
          <m:t>o</m:t>
        </m:r>
        <m:r>
          <m:t>r</m:t>
        </m:r>
        <m:r>
          <m:t>k</m:t>
        </m:r>
        <m:r>
          <m:rPr>
            <m:sty m:val="p"/>
          </m:rPr>
          <m:t>(</m:t>
        </m:r>
        <m:r>
          <m:t>Q</m:t>
        </m:r>
        <m:r>
          <m:t>1</m:t>
        </m:r>
        <m:r>
          <m:t>p</m:t>
        </m:r>
        <m:r>
          <m:t>a</m:t>
        </m:r>
        <m:r>
          <m:t>y</m:t>
        </m:r>
        <m:r>
          <m:t>o</m:t>
        </m:r>
        <m:r>
          <m:t>u</m:t>
        </m:r>
        <m:r>
          <m:t>t</m:t>
        </m:r>
        <m:r>
          <m:t>r</m:t>
        </m:r>
        <m:r>
          <m:t>a</m:t>
        </m:r>
        <m:r>
          <m:t>t</m:t>
        </m:r>
        <m:r>
          <m:t>i</m:t>
        </m:r>
        <m:r>
          <m:t>o</m:t>
        </m:r>
        <m:r>
          <m:t>w</m:t>
        </m:r>
        <m:r>
          <m:t>a</m:t>
        </m:r>
        <m:r>
          <m:t>s</m:t>
        </m:r>
        <m:r>
          <m:t>59</m:t>
        </m:r>
      </m:oMath>
      <w:r>
        <w:t xml:space="preserve">1.20/share quarterly, ~1.6% yield, ex-date July 31). With ~$11 billion of liquidity and net debt-to-cap around 18% (well below the 20–30% long-term target), balance sheet capacity for continued repurchases remains ample — watch buyback pace commentary given the stock's sharp rally.</w:t>
      </w:r>
    </w:p>
    <w:p>
      <w:pPr>
        <w:pStyle w:val="BodyText"/>
      </w:pPr>
      <w:r>
        <w:rPr>
          <w:b/>
          <w:bCs/>
        </w:rPr>
        <w:t xml:space="preserve">6. St. Charles FCC optimization project.</w:t>
      </w:r>
      <w:r>
        <w:t xml:space="preserve"> </w:t>
      </w:r>
      <w:r>
        <w:t xml:space="preserve">The $230 million alkylate-focused unit at St. Charles remains on track for start-up in Q3 2026 — a modest but relevant yield-improvement catalyst.</w:t>
      </w:r>
    </w:p>
    <w:bookmarkEnd w:id="12"/>
    <w:bookmarkStart w:id="13" w:name="analyst-sentiment-into-the-print"/>
    <w:p>
      <w:pPr>
        <w:pStyle w:val="Heading2"/>
      </w:pPr>
      <w:r>
        <w:t xml:space="preserve">Analyst Sentiment Into the Print</w:t>
      </w:r>
    </w:p>
    <w:p>
      <w:pPr>
        <w:pStyle w:val="FirstParagraph"/>
      </w:pPr>
      <w:r>
        <w:t xml:space="preserve">Sentiment has turned increasingly constructive. Recent price-target moves include Raymond James raising to $340 (Strong Buy), TD Cowen to $338 (Hold), Citigroup to $302 (Neutral), and BMO to $270 (Outperform). The stock carries a consensus "Moderate Buy" rating (roughly 9 strong buy/1 buy/8 hold/1 sell among 19 analysts per one tracker), with an average target price near $267 — notably below the current share price, reflecting how quickly targets have lagged the stock's rally.</w:t>
      </w:r>
    </w:p>
    <w:bookmarkEnd w:id="13"/>
    <w:bookmarkStart w:id="14" w:name="risks-to-monitor"/>
    <w:p>
      <w:pPr>
        <w:pStyle w:val="Heading2"/>
      </w:pPr>
      <w:r>
        <w:t xml:space="preserve">Risks to Monitor</w:t>
      </w:r>
    </w:p>
    <w:p>
      <w:pPr>
        <w:pStyle w:val="Compact"/>
        <w:numPr>
          <w:ilvl w:val="0"/>
          <w:numId w:val="1002"/>
        </w:numPr>
      </w:pPr>
      <w:r>
        <w:rPr>
          <w:b/>
          <w:bCs/>
        </w:rPr>
        <w:t xml:space="preserve">Margin durability:</w:t>
      </w:r>
      <w:r>
        <w:t xml:space="preserve"> </w:t>
      </w:r>
      <w:r>
        <w:t xml:space="preserve">Elevated crack spreads are geopolitically driven (Iran conflict, Hormuz disruption); any de-escalation or resolution could compress margins quickly, and the futures curve/back-end cracks remain a key debate for how long the tailwind lasts.</w:t>
      </w:r>
    </w:p>
    <w:p>
      <w:pPr>
        <w:pStyle w:val="Compact"/>
        <w:numPr>
          <w:ilvl w:val="0"/>
          <w:numId w:val="1002"/>
        </w:numPr>
      </w:pPr>
      <w:r>
        <w:rPr>
          <w:b/>
          <w:bCs/>
        </w:rPr>
        <w:t xml:space="preserve">Crude cost/backwardation:</w:t>
      </w:r>
      <w:r>
        <w:t xml:space="preserve"> </w:t>
      </w:r>
      <w:r>
        <w:t xml:space="preserve">High and volatile crude prices, plus steep backwardation, can pressure capture rates even when product cracks are strong.</w:t>
      </w:r>
    </w:p>
    <w:p>
      <w:pPr>
        <w:pStyle w:val="Compact"/>
        <w:numPr>
          <w:ilvl w:val="0"/>
          <w:numId w:val="1002"/>
        </w:numPr>
      </w:pPr>
      <w:r>
        <w:rPr>
          <w:b/>
          <w:bCs/>
        </w:rPr>
        <w:t xml:space="preserve">Refinery reliability:</w:t>
      </w:r>
      <w:r>
        <w:t xml:space="preserve"> </w:t>
      </w:r>
      <w:r>
        <w:t xml:space="preserve">The Port Arthur incident is a reminder that unplanned outages can offset macro tailwinds; further operational surprises (planned or unplanned) are a watch item.</w:t>
      </w:r>
    </w:p>
    <w:p>
      <w:pPr>
        <w:pStyle w:val="Compact"/>
        <w:numPr>
          <w:ilvl w:val="0"/>
          <w:numId w:val="1002"/>
        </w:numPr>
      </w:pPr>
      <w:r>
        <w:rPr>
          <w:b/>
          <w:bCs/>
        </w:rPr>
        <w:t xml:space="preserve">Renewable Diesel volatility:</w:t>
      </w:r>
      <w:r>
        <w:t xml:space="preserve"> </w:t>
      </w:r>
      <w:r>
        <w:t xml:space="preserve">Feedstock mark-to-market and policy uncertainty (45Z guidance timing) keep DGD earnings less predictable than the core refining business.</w:t>
      </w:r>
    </w:p>
    <w:p>
      <w:pPr>
        <w:pStyle w:val="Compact"/>
        <w:numPr>
          <w:ilvl w:val="0"/>
          <w:numId w:val="1002"/>
        </w:numPr>
      </w:pPr>
      <w:r>
        <w:rPr>
          <w:b/>
          <w:bCs/>
        </w:rPr>
        <w:t xml:space="preserve">Valuation/expectations:</w:t>
      </w:r>
      <w:r>
        <w:t xml:space="preserve"> </w:t>
      </w:r>
      <w:r>
        <w:t xml:space="preserve">With EPS estimates revised up sharply and the stock near all-time highs, the bar for a positive surprise reaction is high; a "good quarter" that merely meets already-elevated expectations could see a muted or negative stock reaction.</w:t>
      </w:r>
    </w:p>
    <w:bookmarkEnd w:id="14"/>
    <w:bookmarkStart w:id="15" w:name="bottom-line"/>
    <w:p>
      <w:pPr>
        <w:pStyle w:val="Heading2"/>
      </w:pPr>
      <w:r>
        <w:t xml:space="preserve">Bottom Line</w:t>
      </w:r>
    </w:p>
    <w:p>
      <w:pPr>
        <w:pStyle w:val="FirstParagraph"/>
      </w:pPr>
      <w:r>
        <w:t xml:space="preserve">Valero enters Q2 2026 earnings with the wind at its back — record refining crack spreads, resilient demand, and a scarcity of global refining capacity have driven consensus estimates for ~330% year-over-year EPS growth. The company's Gulf Coast-heavy, high-complexity footprint, disciplined hedging approach, and fortress balance sheet (bolstered by a fresh $5 billion buyback authorization) position it well to capture the upcycle. The key swing factors for tomorrow's report will be how much of the crack-spread windfall actually showed up in captured margin given crude backwardation, the state of Port Arthur repairs, and management's tone on how long the current, geopolitically-driven margin environment can persist.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2026-07-29T18:47:06Z</dcterms:created>
  <dcterms:modified xsi:type="dcterms:W3CDTF">2026-07-29T18:47:06Z</dcterms:modified>
</cp:coreProperties>
</file>

<file path=docProps/custom.xml><?xml version="1.0" encoding="utf-8"?>
<Properties xmlns="http://schemas.openxmlformats.org/officeDocument/2006/custom-properties" xmlns:vt="http://schemas.openxmlformats.org/officeDocument/2006/docPropsVTypes"/>
</file>