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~$10.35 vs. cons $10.00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segment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~$4.25B vs. cons $4.05B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throughput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~2.80M bpd vs. cons 2.79M bpd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throughput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~2.90M bpd vs. cons 2.88M bpd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cash operating expense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~$4.75/bbl vs. cons $4.78/bbl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+2.3% (FOLLOW-THROUGH)</w:t>
            </w:r>
          </w:p>
        </w:tc>
        <w:tc>
          <w:tcPr/>
          <w:p>
            <w:pPr>
              <w:pStyle w:val="Compact"/>
            </w:pPr>
            <w:r>
              <w:t xml:space="preserve">Constructive Q3 throughput and margin-capture commentary should lift out-period estimates: modeled Q3 throughput of ~2.90M bpd versus consensus 2.88M bpd supports positive revisions after the Q2 beat, although the stock's pre-earnings rally limits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2026-07-29T18:46:29Z</dcterms:created>
  <dcterms:modified xsi:type="dcterms:W3CDTF">2026-07-29T18:46:29Z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