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vlo-q2-2026-earnings-preview"/>
    <w:p>
      <w:pPr>
        <w:pStyle w:val="Heading1"/>
      </w:pPr>
      <w:r>
        <w:t xml:space="preserve">VLO Q2 2026 Earnings Preview</w:t>
      </w:r>
    </w:p>
    <w:p>
      <w:pPr>
        <w:pStyle w:val="FirstParagraph"/>
      </w:pPr>
      <w:r>
        <w:rPr>
          <w:b/>
          <w:bCs/>
        </w:rPr>
        <w:t xml:space="preserve">Report:</w:t>
      </w:r>
      <w:r>
        <w:t xml:space="preserve"> </w:t>
      </w:r>
      <w:r>
        <w:t xml:space="preserve">Thursday, July 30, before the market opens</w:t>
      </w:r>
      <w:r>
        <w:br/>
      </w:r>
      <w:r>
        <w:rPr>
          <w:b/>
          <w:bCs/>
        </w:rPr>
        <w:t xml:space="preserve">Conference call:</w:t>
      </w:r>
      <w:r>
        <w:t xml:space="preserve"> </w:t>
      </w:r>
      <w:r>
        <w:t xml:space="preserve">10:00 a.m. ET (</w:t>
      </w:r>
      <w:hyperlink r:id="rId9">
        <w:r>
          <w:rPr>
            <w:rStyle w:val="Hyperlink"/>
          </w:rPr>
          <w:t xml:space="preserve">investorvalero.com</w:t>
        </w:r>
      </w:hyperlink>
      <w:r>
        <w:t xml:space="preserve">)</w:t>
      </w:r>
    </w:p>
    <w:bookmarkStart w:id="10" w:name="investment-view-going-into-the-print"/>
    <w:p>
      <w:pPr>
        <w:pStyle w:val="Heading2"/>
      </w:pPr>
      <w:r>
        <w:t xml:space="preserve">Investment view going into the print</w:t>
      </w:r>
    </w:p>
    <w:p>
      <w:pPr>
        <w:pStyle w:val="FirstParagraph"/>
      </w:pPr>
      <w:r>
        <w:t xml:space="preserve">Valero should report an exceptionally strong quarter. Refined-product markets tightened materially during Q2, especially for diesel and jet fuel, while Valero’s complex Gulf Coast system benefited from discounted heavy-sour crude.</w:t>
      </w:r>
    </w:p>
    <w:p>
      <w:pPr>
        <w:pStyle w:val="BodyText"/>
      </w:pPr>
      <w:r>
        <w:t xml:space="preserve">The debate is therefore</w:t>
      </w:r>
      <w:r>
        <w:t xml:space="preserve"> </w:t>
      </w:r>
      <w:r>
        <w:rPr>
          <w:b/>
          <w:bCs/>
        </w:rPr>
        <w:t xml:space="preserve">not whether earnings improved</w:t>
      </w:r>
      <w:r>
        <w:t xml:space="preserve">. The real questions are:</w:t>
      </w:r>
    </w:p>
    <w:p>
      <w:pPr>
        <w:pStyle w:val="Compact"/>
        <w:numPr>
          <w:ilvl w:val="0"/>
          <w:numId w:val="1001"/>
        </w:numPr>
      </w:pPr>
      <w:r>
        <w:t xml:space="preserve">How much of the favorable benchmark-margin environment did Valero capture?</w:t>
      </w:r>
    </w:p>
    <w:p>
      <w:pPr>
        <w:pStyle w:val="Compact"/>
        <w:numPr>
          <w:ilvl w:val="0"/>
          <w:numId w:val="1001"/>
        </w:numPr>
      </w:pPr>
      <w:r>
        <w:t xml:space="preserve">How much production and margin were lost at Port Arthur?</w:t>
      </w:r>
    </w:p>
    <w:p>
      <w:pPr>
        <w:pStyle w:val="Compact"/>
        <w:numPr>
          <w:ilvl w:val="0"/>
          <w:numId w:val="1001"/>
        </w:numPr>
      </w:pPr>
      <w:r>
        <w:t xml:space="preserve">Are today’s unusually strong refining conditions sustainable into Q3?</w:t>
      </w:r>
    </w:p>
    <w:p>
      <w:pPr>
        <w:pStyle w:val="Compact"/>
        <w:numPr>
          <w:ilvl w:val="0"/>
          <w:numId w:val="1001"/>
        </w:numPr>
      </w:pPr>
      <w:r>
        <w:t xml:space="preserve">How aggressively is Valero converting the windfall into share repurchases?</w:t>
      </w:r>
    </w:p>
    <w:p>
      <w:pPr>
        <w:pStyle w:val="FirstParagraph"/>
      </w:pPr>
      <w:r>
        <w:t xml:space="preserve">Expectations are already elevated. VLO closed July 29 at approximately</w:t>
      </w:r>
      <w:r>
        <w:t xml:space="preserve"> </w:t>
      </w:r>
      <w:r>
        <w:rPr>
          <w:b/>
          <w:bCs/>
        </w:rPr>
        <w:t xml:space="preserve">$303</w:t>
      </w:r>
      <w:r>
        <w:t xml:space="preserve">, up about</w:t>
      </w:r>
      <w:r>
        <w:t xml:space="preserve"> </w:t>
      </w:r>
      <w:r>
        <w:rPr>
          <w:b/>
          <w:bCs/>
        </w:rPr>
        <w:t xml:space="preserve">16% since June 30</w:t>
      </w:r>
      <w:r>
        <w:t xml:space="preserve"> </w:t>
      </w:r>
      <w:r>
        <w:t xml:space="preserve">and</w:t>
      </w:r>
      <w:r>
        <w:t xml:space="preserve"> </w:t>
      </w:r>
      <w:r>
        <w:rPr>
          <w:b/>
          <w:bCs/>
        </w:rPr>
        <w:t xml:space="preserve">23% since March 31</w:t>
      </w:r>
      <w:r>
        <w:t xml:space="preserve">. A large sequential earnings increase is priced in; the stock may need a clean operational report and constructive forward commentary, not merely an EPS beat.</w:t>
      </w:r>
    </w:p>
    <w:p>
      <w:r>
        <w:pict>
          <v:rect style="width:0;height:1.5pt" o:hralign="center" o:hrstd="t" o:hr="t"/>
        </w:pict>
      </w:r>
    </w:p>
    <w:bookmarkEnd w:id="10"/>
    <w:bookmarkStart w:id="12" w:name="expectations-snapshot"/>
    <w:p>
      <w:pPr>
        <w:pStyle w:val="Heading2"/>
      </w:pPr>
      <w:r>
        <w:t xml:space="preserve">Expectations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Expectation or comparison</w:t>
            </w:r>
          </w:p>
        </w:tc>
      </w:tr>
      <w:tr>
        <w:tc>
          <w:tcPr/>
          <w:p>
            <w:pPr>
              <w:pStyle w:val="Compact"/>
            </w:pPr>
            <w:r>
              <w:t xml:space="preserve">Street adjusted EPS</w:t>
            </w:r>
          </w:p>
        </w:tc>
        <w:tc>
          <w:tcPr/>
          <w:p>
            <w:pPr>
              <w:pStyle w:val="Compact"/>
              <w:jc w:val="right"/>
            </w:pPr>
            <w:r>
              <w:t xml:space="preserve">Roughly</w:t>
            </w:r>
            <w:r>
              <w:t xml:space="preserve"> </w:t>
            </w:r>
            <m:oMath>
              <m:r>
                <m:t>9.80</m:t>
              </m:r>
              <m:r>
                <m:rPr>
                  <m:sty m:val="p"/>
                </m:rPr>
                <m:t>−</m:t>
              </m:r>
            </m:oMath>
            <w:r>
              <w:rPr>
                <w:b/>
                <w:bCs/>
              </w:rPr>
              <w:t xml:space="preserve">10.15</w:t>
            </w:r>
          </w:p>
        </w:tc>
      </w:tr>
      <w:tr>
        <w:tc>
          <w:tcPr/>
          <w:p>
            <w:pPr>
              <w:pStyle w:val="Compact"/>
            </w:pPr>
            <w:r>
              <w:t xml:space="preserve">Revenue estimates</w:t>
            </w:r>
          </w:p>
        </w:tc>
        <w:tc>
          <w:tcPr/>
          <w:p>
            <w:pPr>
              <w:pStyle w:val="Compact"/>
              <w:jc w:val="right"/>
            </w:pPr>
            <w:r>
              <w:t xml:space="preserve">Approximately</w:t>
            </w:r>
            <w:r>
              <w:t xml:space="preserve"> </w:t>
            </w:r>
            <m:oMath>
              <m:r>
                <m:t>36</m:t>
              </m:r>
              <m:r>
                <m:rPr>
                  <m:sty m:val="p"/>
                </m:rPr>
                <m:t>−</m:t>
              </m:r>
            </m:oMath>
            <w:r>
              <w:rPr>
                <w:b/>
                <w:bCs/>
              </w:rPr>
              <w:t xml:space="preserve">39.5 billion</w:t>
            </w:r>
          </w:p>
        </w:tc>
      </w:tr>
      <w:tr>
        <w:tc>
          <w:tcPr/>
          <w:p>
            <w:pPr>
              <w:pStyle w:val="Compact"/>
            </w:pPr>
            <w:r>
              <w:t xml:space="preserve">Q1 2026 EPS</w:t>
            </w:r>
          </w:p>
        </w:tc>
        <w:tc>
          <w:tcPr/>
          <w:p>
            <w:pPr>
              <w:pStyle w:val="Compact"/>
              <w:jc w:val="right"/>
            </w:pPr>
            <w:r>
              <w:rPr>
                <w:b/>
                <w:bCs/>
              </w:rPr>
              <w:t xml:space="preserve">$4.22</w:t>
            </w:r>
          </w:p>
        </w:tc>
      </w:tr>
      <w:tr>
        <w:tc>
          <w:tcPr/>
          <w:p>
            <w:pPr>
              <w:pStyle w:val="Compact"/>
            </w:pPr>
            <w:r>
              <w:t xml:space="preserve">Q2 2025 EPS</w:t>
            </w:r>
          </w:p>
        </w:tc>
        <w:tc>
          <w:tcPr/>
          <w:p>
            <w:pPr>
              <w:pStyle w:val="Compact"/>
              <w:jc w:val="right"/>
            </w:pPr>
            <w:r>
              <w:rPr>
                <w:b/>
                <w:bCs/>
              </w:rPr>
              <w:t xml:space="preserve">$2.28</w:t>
            </w:r>
          </w:p>
        </w:tc>
      </w:tr>
      <w:tr>
        <w:tc>
          <w:tcPr/>
          <w:p>
            <w:pPr>
              <w:pStyle w:val="Compact"/>
            </w:pPr>
            <w:r>
              <w:t xml:space="preserve">Q2 refining-throughput guidance</w:t>
            </w:r>
          </w:p>
        </w:tc>
        <w:tc>
          <w:tcPr/>
          <w:p>
            <w:pPr>
              <w:pStyle w:val="Compact"/>
              <w:jc w:val="right"/>
            </w:pPr>
            <w:r>
              <w:rPr>
                <w:b/>
                <w:bCs/>
              </w:rPr>
              <w:t xml:space="preserve">2.74-2.84 million bpd</w:t>
            </w:r>
          </w:p>
        </w:tc>
      </w:tr>
      <w:tr>
        <w:tc>
          <w:tcPr/>
          <w:p>
            <w:pPr>
              <w:pStyle w:val="Compact"/>
            </w:pPr>
            <w:r>
              <w:t xml:space="preserve">Guidance midpoint</w:t>
            </w:r>
          </w:p>
        </w:tc>
        <w:tc>
          <w:tcPr/>
          <w:p>
            <w:pPr>
              <w:pStyle w:val="Compact"/>
              <w:jc w:val="right"/>
            </w:pPr>
            <w:r>
              <w:t xml:space="preserve">Approximately</w:t>
            </w:r>
            <w:r>
              <w:t xml:space="preserve"> </w:t>
            </w:r>
            <w:r>
              <w:rPr>
                <w:b/>
                <w:bCs/>
              </w:rPr>
              <w:t xml:space="preserve">2.79 million bpd</w:t>
            </w:r>
          </w:p>
        </w:tc>
      </w:tr>
      <w:tr>
        <w:tc>
          <w:tcPr/>
          <w:p>
            <w:pPr>
              <w:pStyle w:val="Compact"/>
            </w:pPr>
            <w:r>
              <w:t xml:space="preserve">Refining cash operating expense</w:t>
            </w:r>
          </w:p>
        </w:tc>
        <w:tc>
          <w:tcPr/>
          <w:p>
            <w:pPr>
              <w:pStyle w:val="Compact"/>
              <w:jc w:val="right"/>
            </w:pPr>
            <w:r>
              <w:t xml:space="preserve">Approximately</w:t>
            </w:r>
            <w:r>
              <w:t xml:space="preserve"> </w:t>
            </w:r>
            <w:r>
              <w:rPr>
                <w:b/>
                <w:bCs/>
              </w:rPr>
              <w:t xml:space="preserve">$4.85/bbl</w:t>
            </w:r>
          </w:p>
        </w:tc>
      </w:tr>
      <w:tr>
        <w:tc>
          <w:tcPr/>
          <w:p>
            <w:pPr>
              <w:pStyle w:val="Compact"/>
            </w:pPr>
            <w:r>
              <w:t xml:space="preserve">Renewable-diesel sales</w:t>
            </w:r>
          </w:p>
        </w:tc>
        <w:tc>
          <w:tcPr/>
          <w:p>
            <w:pPr>
              <w:pStyle w:val="Compact"/>
              <w:jc w:val="right"/>
            </w:pPr>
            <w:r>
              <w:t xml:space="preserve">Approximately</w:t>
            </w:r>
            <w:r>
              <w:t xml:space="preserve"> </w:t>
            </w:r>
            <w:r>
              <w:rPr>
                <w:b/>
                <w:bCs/>
              </w:rPr>
              <w:t xml:space="preserve">320 million gallons</w:t>
            </w:r>
          </w:p>
        </w:tc>
      </w:tr>
      <w:tr>
        <w:tc>
          <w:tcPr/>
          <w:p>
            <w:pPr>
              <w:pStyle w:val="Compact"/>
            </w:pPr>
            <w:r>
              <w:t xml:space="preserve">Ethanol production</w:t>
            </w:r>
          </w:p>
        </w:tc>
        <w:tc>
          <w:tcPr/>
          <w:p>
            <w:pPr>
              <w:pStyle w:val="Compact"/>
              <w:jc w:val="right"/>
            </w:pPr>
            <w:r>
              <w:t xml:space="preserve">Approximately</w:t>
            </w:r>
            <w:r>
              <w:t xml:space="preserve"> </w:t>
            </w:r>
            <w:r>
              <w:rPr>
                <w:b/>
                <w:bCs/>
              </w:rPr>
              <w:t xml:space="preserve">4.7 million gallons/day</w:t>
            </w:r>
          </w:p>
        </w:tc>
      </w:tr>
    </w:tbl>
    <w:p>
      <w:pPr>
        <w:pStyle w:val="BodyText"/>
      </w:pPr>
      <w:r>
        <w:t xml:space="preserve">Published consensus figures differ by provider: Zacks has EPS of $9.81 and revenue of $35.95 billion, while other services show EPS near $10.13 and revenue as high as $39.47 billion. The estimate has also risen sharply over the past month. (</w:t>
      </w:r>
      <w:hyperlink r:id="rId11">
        <w:r>
          <w:rPr>
            <w:rStyle w:val="Hyperlink"/>
          </w:rPr>
          <w:t xml:space="preserve">tipranks.com</w:t>
        </w:r>
      </w:hyperlink>
      <w:r>
        <w:t xml:space="preserve">)</w:t>
      </w:r>
    </w:p>
    <w:p>
      <w:pPr>
        <w:pStyle w:val="BodyText"/>
      </w:pPr>
      <w:r>
        <w:t xml:space="preserve">For a refiner,</w:t>
      </w:r>
      <w:r>
        <w:t xml:space="preserve"> </w:t>
      </w:r>
      <w:r>
        <w:rPr>
          <w:b/>
          <w:bCs/>
        </w:rPr>
        <w:t xml:space="preserve">revenue is a relatively weak performance indicator</w:t>
      </w:r>
      <w:r>
        <w:t xml:space="preserve"> </w:t>
      </w:r>
      <w:r>
        <w:t xml:space="preserve">because it moves heavily with commodity prices. Refining margin, capture rate, throughput, operating cost and cash flow will matter considerably more.</w:t>
      </w:r>
    </w:p>
    <w:p>
      <w:r>
        <w:pict>
          <v:rect style="width:0;height:1.5pt" o:hralign="center" o:hrstd="t" o:hr="t"/>
        </w:pict>
      </w:r>
    </w:p>
    <w:bookmarkEnd w:id="12"/>
    <w:bookmarkStart w:id="14" w:name="Xa96393eaa216b8bd3dac9099b63700c70909eb4"/>
    <w:p>
      <w:pPr>
        <w:pStyle w:val="Heading2"/>
      </w:pPr>
      <w:r>
        <w:t xml:space="preserve">1. Refining margins should dominate the quarter</w:t>
      </w:r>
    </w:p>
    <w:p>
      <w:pPr>
        <w:pStyle w:val="FirstParagraph"/>
      </w:pPr>
      <w:r>
        <w:t xml:space="preserve">Valero entered Q2 with strong operating momentum. In Q1, refining operating income was</w:t>
      </w:r>
      <w:r>
        <w:t xml:space="preserve"> </w:t>
      </w:r>
      <w:r>
        <w:rPr>
          <w:b/>
          <w:bCs/>
        </w:rPr>
        <w:t xml:space="preserve">$1.8 billion</w:t>
      </w:r>
      <w:r>
        <w:t xml:space="preserve">, total throughput averaged</w:t>
      </w:r>
      <w:r>
        <w:t xml:space="preserve"> </w:t>
      </w:r>
      <w:r>
        <w:rPr>
          <w:b/>
          <w:bCs/>
        </w:rPr>
        <w:t xml:space="preserve">2.9 million bpd</w:t>
      </w:r>
      <w:r>
        <w:t xml:space="preserve">, and refining margin was $14.90 per barrel. The Gulf Coast accounted for most of the segment’s earnings. (</w:t>
      </w:r>
      <w:hyperlink r:id="rId13">
        <w:r>
          <w:rPr>
            <w:rStyle w:val="Hyperlink"/>
          </w:rPr>
          <w:t xml:space="preserve">investorvalero.com</w:t>
        </w:r>
      </w:hyperlink>
      <w:r>
        <w:t xml:space="preserve">)</w:t>
      </w:r>
    </w:p>
    <w:p>
      <w:pPr>
        <w:pStyle w:val="BodyText"/>
      </w:pPr>
      <w:r>
        <w:t xml:space="preserve">Conditions became even more favorable during Q2:</w:t>
      </w:r>
    </w:p>
    <w:p>
      <w:pPr>
        <w:pStyle w:val="Compact"/>
        <w:numPr>
          <w:ilvl w:val="0"/>
          <w:numId w:val="1002"/>
        </w:numPr>
      </w:pPr>
      <w:r>
        <w:t xml:space="preserve">Diesel and jet markets were exceptionally tight.</w:t>
      </w:r>
    </w:p>
    <w:p>
      <w:pPr>
        <w:pStyle w:val="Compact"/>
        <w:numPr>
          <w:ilvl w:val="0"/>
          <w:numId w:val="1002"/>
        </w:numPr>
      </w:pPr>
      <w:r>
        <w:t xml:space="preserve">U.S. product exports increased as overseas buyers sought alternative supply.</w:t>
      </w:r>
    </w:p>
    <w:p>
      <w:pPr>
        <w:pStyle w:val="Compact"/>
        <w:numPr>
          <w:ilvl w:val="0"/>
          <w:numId w:val="1002"/>
        </w:numPr>
      </w:pPr>
      <w:r>
        <w:t xml:space="preserve">Low inventories strengthened prompt product pricing.</w:t>
      </w:r>
    </w:p>
    <w:p>
      <w:pPr>
        <w:pStyle w:val="Compact"/>
        <w:numPr>
          <w:ilvl w:val="0"/>
          <w:numId w:val="1002"/>
        </w:numPr>
      </w:pPr>
      <w:r>
        <w:t xml:space="preserve">Heavy-sour crude discounts favored Valero’s high-complexity refineries.</w:t>
      </w:r>
    </w:p>
    <w:p>
      <w:pPr>
        <w:pStyle w:val="Compact"/>
        <w:numPr>
          <w:ilvl w:val="0"/>
          <w:numId w:val="1002"/>
        </w:numPr>
      </w:pPr>
      <w:r>
        <w:t xml:space="preserve">Valero was able to increase jet yields to respond to the strongest product signal.</w:t>
      </w:r>
    </w:p>
    <w:p>
      <w:pPr>
        <w:pStyle w:val="FirstParagraph"/>
      </w:pPr>
      <w:r>
        <w:t xml:space="preserve">The central earnings variable is</w:t>
      </w:r>
      <w:r>
        <w:t xml:space="preserve"> </w:t>
      </w:r>
      <w:r>
        <w:rPr>
          <w:b/>
          <w:bCs/>
        </w:rPr>
        <w:t xml:space="preserve">capture rate</w:t>
      </w:r>
      <w:r>
        <w:t xml:space="preserve">: how effectively Valero converted headline crack spreads into realized refining margin. Crude backwardation, unusually volatile physical markets, freight costs, inventory accounting and product-placement timing can all cause realized earnings to differ materially from simple benchmark models.</w:t>
      </w:r>
    </w:p>
    <w:p>
      <w:pPr>
        <w:pStyle w:val="BodyText"/>
      </w:pPr>
      <w:r>
        <w:t xml:space="preserve">A strong report should show refining operating income well above both Q1 2026’s $1.8 billion and Q2 2025’s $1.27 billion.</w:t>
      </w:r>
    </w:p>
    <w:p>
      <w:r>
        <w:pict>
          <v:rect style="width:0;height:1.5pt" o:hralign="center" o:hrstd="t" o:hr="t"/>
        </w:pict>
      </w:r>
    </w:p>
    <w:bookmarkEnd w:id="14"/>
    <w:bookmarkStart w:id="15" w:name="X17b51b7b199fc199edf388314ce63af1c0a9ff1"/>
    <w:p>
      <w:pPr>
        <w:pStyle w:val="Heading2"/>
      </w:pPr>
      <w:r>
        <w:t xml:space="preserve">2. Port Arthur is the biggest operational swing factor</w:t>
      </w:r>
    </w:p>
    <w:p>
      <w:pPr>
        <w:pStyle w:val="FirstParagraph"/>
      </w:pPr>
      <w:r>
        <w:t xml:space="preserve">A March 23 fire at Valero’s Port Arthur refinery forced a shutdown and damaged its diesel hydrotreater. Most major processing units were being restarted by early May, but the damaged diesel hydrotreater and an adjacent kerosene hydrotreater remained unavailable when Valero last reported.</w:t>
      </w:r>
    </w:p>
    <w:p>
      <w:pPr>
        <w:pStyle w:val="BodyText"/>
      </w:pPr>
      <w:r>
        <w:t xml:space="preserve">That creates two possible earnings effects:</w:t>
      </w:r>
    </w:p>
    <w:p>
      <w:pPr>
        <w:pStyle w:val="Compact"/>
        <w:numPr>
          <w:ilvl w:val="0"/>
          <w:numId w:val="1003"/>
        </w:numPr>
      </w:pPr>
      <w:r>
        <w:rPr>
          <w:b/>
          <w:bCs/>
        </w:rPr>
        <w:t xml:space="preserve">Lower throughput:</w:t>
      </w:r>
      <w:r>
        <w:t xml:space="preserve"> </w:t>
      </w:r>
      <w:r>
        <w:t xml:space="preserve">The midpoint of management’s regional Q2 guidance is about 2.79 million bpd, roughly 4%-5% below both Q1 2026 and Q2 2025.</w:t>
      </w:r>
    </w:p>
    <w:p>
      <w:pPr>
        <w:pStyle w:val="Compact"/>
        <w:numPr>
          <w:ilvl w:val="0"/>
          <w:numId w:val="1003"/>
        </w:numPr>
      </w:pPr>
      <w:r>
        <w:rPr>
          <w:b/>
          <w:bCs/>
        </w:rPr>
        <w:t xml:space="preserve">Lower capture:</w:t>
      </w:r>
      <w:r>
        <w:t xml:space="preserve"> </w:t>
      </w:r>
      <w:r>
        <w:t xml:space="preserve">Even after crude-unit throughput recovered, unavailable hydrotreating capacity could constrain the refinery’s ability to maximize high-value diesel and jet production.</w:t>
      </w:r>
    </w:p>
    <w:p>
      <w:pPr>
        <w:pStyle w:val="FirstParagraph"/>
      </w:pPr>
      <w:r>
        <w:t xml:space="preserve">Investors should listen for:</w:t>
      </w:r>
    </w:p>
    <w:p>
      <w:pPr>
        <w:pStyle w:val="Compact"/>
        <w:numPr>
          <w:ilvl w:val="0"/>
          <w:numId w:val="1004"/>
        </w:numPr>
      </w:pPr>
      <w:r>
        <w:t xml:space="preserve">Current operating status of the kerosene hydrotreater.</w:t>
      </w:r>
    </w:p>
    <w:p>
      <w:pPr>
        <w:pStyle w:val="Compact"/>
        <w:numPr>
          <w:ilvl w:val="0"/>
          <w:numId w:val="1004"/>
        </w:numPr>
      </w:pPr>
      <w:r>
        <w:t xml:space="preserve">Repair timetable for the diesel hydrotreater.</w:t>
      </w:r>
    </w:p>
    <w:p>
      <w:pPr>
        <w:pStyle w:val="Compact"/>
        <w:numPr>
          <w:ilvl w:val="0"/>
          <w:numId w:val="1004"/>
        </w:numPr>
      </w:pPr>
      <w:r>
        <w:t xml:space="preserve">Estimated total repair cost and insurance recovery.</w:t>
      </w:r>
    </w:p>
    <w:p>
      <w:pPr>
        <w:pStyle w:val="Compact"/>
        <w:numPr>
          <w:ilvl w:val="0"/>
          <w:numId w:val="1004"/>
        </w:numPr>
      </w:pPr>
      <w:r>
        <w:t xml:space="preserve">Any continuing effect on Q3 throughput or margin capture.</w:t>
      </w:r>
    </w:p>
    <w:p>
      <w:pPr>
        <w:pStyle w:val="Compact"/>
        <w:numPr>
          <w:ilvl w:val="0"/>
          <w:numId w:val="1004"/>
        </w:numPr>
      </w:pPr>
      <w:r>
        <w:t xml:space="preserve">Whether 2026 capital-investment guidance needs to increase.</w:t>
      </w:r>
    </w:p>
    <w:p>
      <w:pPr>
        <w:pStyle w:val="FirstParagraph"/>
      </w:pPr>
      <w:r>
        <w:t xml:space="preserve">A more definitive repair timeline would remove an important uncertainty. A prolonged outage during an unusually profitable distillate market would be a meaningful opportunity cost.</w:t>
      </w:r>
    </w:p>
    <w:p>
      <w:r>
        <w:pict>
          <v:rect style="width:0;height:1.5pt" o:hralign="center" o:hrstd="t" o:hr="t"/>
        </w:pict>
      </w:r>
    </w:p>
    <w:bookmarkEnd w:id="15"/>
    <w:bookmarkStart w:id="17" w:name="X008e3918598a450904723e8c60821a3fa04b799"/>
    <w:p>
      <w:pPr>
        <w:pStyle w:val="Heading2"/>
      </w:pPr>
      <w:r>
        <w:t xml:space="preserve">3. Benicia creates messy comparisons but should improve the underlying portfolio</w:t>
      </w:r>
    </w:p>
    <w:p>
      <w:pPr>
        <w:pStyle w:val="FirstParagraph"/>
      </w:pPr>
      <w:r>
        <w:t xml:space="preserve">Valero completed the idling of Benicia’s processing units in April. The 170,000-bpd refinery will therefore contribute little or no refining throughput for most of Q2, while Valero intends to serve contractual customers through imports and other supply arrangements. (</w:t>
      </w:r>
      <w:hyperlink r:id="rId16">
        <w:r>
          <w:rPr>
            <w:rStyle w:val="Hyperlink"/>
          </w:rPr>
          <w:t xml:space="preserve">beniciarefinery.com</w:t>
        </w:r>
      </w:hyperlink>
      <w:r>
        <w:t xml:space="preserve">)</w:t>
      </w:r>
    </w:p>
    <w:p>
      <w:pPr>
        <w:pStyle w:val="BodyText"/>
      </w:pPr>
      <w:r>
        <w:t xml:space="preserve">The effects should include:</w:t>
      </w:r>
    </w:p>
    <w:p>
      <w:pPr>
        <w:pStyle w:val="Compact"/>
        <w:numPr>
          <w:ilvl w:val="0"/>
          <w:numId w:val="1005"/>
        </w:numPr>
      </w:pPr>
      <w:r>
        <w:t xml:space="preserve">Lower reported West Coast throughput.</w:t>
      </w:r>
    </w:p>
    <w:p>
      <w:pPr>
        <w:pStyle w:val="Compact"/>
        <w:numPr>
          <w:ilvl w:val="0"/>
          <w:numId w:val="1005"/>
        </w:numPr>
      </w:pPr>
      <w:r>
        <w:t xml:space="preserve">Some transition, inventory and product-supply costs.</w:t>
      </w:r>
    </w:p>
    <w:p>
      <w:pPr>
        <w:pStyle w:val="Compact"/>
        <w:numPr>
          <w:ilvl w:val="0"/>
          <w:numId w:val="1005"/>
        </w:numPr>
      </w:pPr>
      <w:r>
        <w:t xml:space="preserve">Approximately $33 million of incremental Benicia depreciation in April, versus roughly $100 million in Q1.</w:t>
      </w:r>
    </w:p>
    <w:p>
      <w:pPr>
        <w:pStyle w:val="Compact"/>
        <w:numPr>
          <w:ilvl w:val="0"/>
          <w:numId w:val="1005"/>
        </w:numPr>
      </w:pPr>
      <w:r>
        <w:t xml:space="preserve">Better earnings comparability beginning in Q3, when the accelerated depreciation should be gone.</w:t>
      </w:r>
    </w:p>
    <w:p>
      <w:pPr>
        <w:pStyle w:val="Compact"/>
        <w:numPr>
          <w:ilvl w:val="0"/>
          <w:numId w:val="1005"/>
        </w:numPr>
      </w:pPr>
      <w:r>
        <w:t xml:space="preserve">Potentially less exposure to a historically high-cost and volatile asset.</w:t>
      </w:r>
    </w:p>
    <w:p>
      <w:pPr>
        <w:pStyle w:val="FirstParagraph"/>
      </w:pPr>
      <w:r>
        <w:t xml:space="preserve">Investors should separate the lost volume from portfolio quality. Benicia’s closure mechanically reduces capacity, but removing an operation that produced recurring losses or poor returns can still improve normalized free cash flow.</w:t>
      </w:r>
    </w:p>
    <w:p>
      <w:pPr>
        <w:pStyle w:val="BodyText"/>
      </w:pPr>
      <w:r>
        <w:t xml:space="preserve">Any update on redevelopment, sale or other strategic alternatives would be incremental rather than central to the quarter.</w:t>
      </w:r>
    </w:p>
    <w:p>
      <w:r>
        <w:pict>
          <v:rect style="width:0;height:1.5pt" o:hralign="center" o:hrstd="t" o:hr="t"/>
        </w:pict>
      </w:r>
    </w:p>
    <w:bookmarkEnd w:id="17"/>
    <w:bookmarkStart w:id="18" w:name="X9226bab5d30eaa73bba56879208bd67beabe308"/>
    <w:p>
      <w:pPr>
        <w:pStyle w:val="Heading2"/>
      </w:pPr>
      <w:r>
        <w:t xml:space="preserve">4. Renewable diesel should improve substantially</w:t>
      </w:r>
    </w:p>
    <w:p>
      <w:pPr>
        <w:pStyle w:val="FirstParagraph"/>
      </w:pPr>
      <w:r>
        <w:t xml:space="preserve">Diamond Green Diesel reported</w:t>
      </w:r>
      <w:r>
        <w:t xml:space="preserve"> </w:t>
      </w:r>
      <w:r>
        <w:rPr>
          <w:b/>
          <w:bCs/>
        </w:rPr>
        <w:t xml:space="preserve">$139 million of operating income</w:t>
      </w:r>
      <w:r>
        <w:t xml:space="preserve"> </w:t>
      </w:r>
      <w:r>
        <w:t xml:space="preserve">in Q1, a major improvement from the prior year. Management guided to approximately</w:t>
      </w:r>
      <w:r>
        <w:t xml:space="preserve"> </w:t>
      </w:r>
      <w:r>
        <w:rPr>
          <w:b/>
          <w:bCs/>
        </w:rPr>
        <w:t xml:space="preserve">320 million gallons of Q2 sales</w:t>
      </w:r>
      <w:r>
        <w:t xml:space="preserve">, equivalent to about 3.5 million gallons per day—above both Q1’s 3.0 million and Q2 2025’s 2.7 million.</w:t>
      </w:r>
    </w:p>
    <w:p>
      <w:pPr>
        <w:pStyle w:val="BodyText"/>
      </w:pPr>
      <w:r>
        <w:t xml:space="preserve">The favorable factors are:</w:t>
      </w:r>
    </w:p>
    <w:p>
      <w:pPr>
        <w:pStyle w:val="Compact"/>
        <w:numPr>
          <w:ilvl w:val="0"/>
          <w:numId w:val="1006"/>
        </w:numPr>
      </w:pPr>
      <w:r>
        <w:t xml:space="preserve">Higher sales volume.</w:t>
      </w:r>
    </w:p>
    <w:p>
      <w:pPr>
        <w:pStyle w:val="Compact"/>
        <w:numPr>
          <w:ilvl w:val="0"/>
          <w:numId w:val="1006"/>
        </w:numPr>
      </w:pPr>
      <w:r>
        <w:t xml:space="preserve">Stronger renewable-fuel compliance values.</w:t>
      </w:r>
    </w:p>
    <w:p>
      <w:pPr>
        <w:pStyle w:val="Compact"/>
        <w:numPr>
          <w:ilvl w:val="0"/>
          <w:numId w:val="1006"/>
        </w:numPr>
      </w:pPr>
      <w:r>
        <w:t xml:space="preserve">Better 2026 regulatory economics than in 2025.</w:t>
      </w:r>
    </w:p>
    <w:p>
      <w:pPr>
        <w:pStyle w:val="Compact"/>
        <w:numPr>
          <w:ilvl w:val="0"/>
          <w:numId w:val="1006"/>
        </w:numPr>
      </w:pPr>
      <w:r>
        <w:t xml:space="preserve">A potentially stronger product-price environment.</w:t>
      </w:r>
    </w:p>
    <w:p>
      <w:pPr>
        <w:pStyle w:val="FirstParagraph"/>
      </w:pPr>
      <w:r>
        <w:t xml:space="preserve">The principal complication is mark-to-market accounting on forward feedstock purchases. Rising fats and oils can create a near-term accounting headwind even if the underlying commercial outlook remains attractive.</w:t>
      </w:r>
    </w:p>
    <w:p>
      <w:pPr>
        <w:pStyle w:val="BodyText"/>
      </w:pPr>
      <w:r>
        <w:t xml:space="preserve">A positive result would be operating income at least comparable to Q1 despite guided operating expense rising to</w:t>
      </w:r>
      <w:r>
        <w:t xml:space="preserve"> </w:t>
      </w:r>
      <w:r>
        <w:rPr>
          <w:b/>
          <w:bCs/>
        </w:rPr>
        <w:t xml:space="preserve">$0.46 per gallon</w:t>
      </w:r>
      <w:r>
        <w:t xml:space="preserve">, including $0.22 of noncash costs. Investors should also look for clarity on renewable-fuel policy and the economics of further sustainable aviation fuel investment.</w:t>
      </w:r>
    </w:p>
    <w:p>
      <w:r>
        <w:pict>
          <v:rect style="width:0;height:1.5pt" o:hralign="center" o:hrstd="t" o:hr="t"/>
        </w:pict>
      </w:r>
    </w:p>
    <w:bookmarkEnd w:id="18"/>
    <w:bookmarkStart w:id="19" w:name="Xd65a85f624d66ea8eaf8cdbd1c9017c342d6701"/>
    <w:p>
      <w:pPr>
        <w:pStyle w:val="Heading2"/>
      </w:pPr>
      <w:r>
        <w:t xml:space="preserve">5. Ethanol should remain a useful secondary contributor</w:t>
      </w:r>
    </w:p>
    <w:p>
      <w:pPr>
        <w:pStyle w:val="FirstParagraph"/>
      </w:pPr>
      <w:r>
        <w:t xml:space="preserve">Valero’s ethanol business earned</w:t>
      </w:r>
      <w:r>
        <w:t xml:space="preserve"> </w:t>
      </w:r>
      <w:r>
        <w:rPr>
          <w:b/>
          <w:bCs/>
        </w:rPr>
        <w:t xml:space="preserve">$90 million</w:t>
      </w:r>
      <w:r>
        <w:t xml:space="preserve"> </w:t>
      </w:r>
      <w:r>
        <w:t xml:space="preserve">in Q1, supported by strong demand for ethanol as a relatively inexpensive source of octane and by export opportunities. Q2 production was guided to approximately</w:t>
      </w:r>
      <w:r>
        <w:t xml:space="preserve"> </w:t>
      </w:r>
      <w:r>
        <w:rPr>
          <w:b/>
          <w:bCs/>
        </w:rPr>
        <w:t xml:space="preserve">4.7 million gallons per day</w:t>
      </w:r>
      <w:r>
        <w:t xml:space="preserve">.</w:t>
      </w:r>
    </w:p>
    <w:p>
      <w:pPr>
        <w:pStyle w:val="BodyText"/>
      </w:pPr>
      <w:r>
        <w:t xml:space="preserve">Items to watch include:</w:t>
      </w:r>
    </w:p>
    <w:p>
      <w:pPr>
        <w:pStyle w:val="Compact"/>
        <w:numPr>
          <w:ilvl w:val="0"/>
          <w:numId w:val="1007"/>
        </w:numPr>
      </w:pPr>
      <w:r>
        <w:t xml:space="preserve">Export demand and global blend-rate increases.</w:t>
      </w:r>
    </w:p>
    <w:p>
      <w:pPr>
        <w:pStyle w:val="Compact"/>
        <w:numPr>
          <w:ilvl w:val="0"/>
          <w:numId w:val="1007"/>
        </w:numPr>
      </w:pPr>
      <w:r>
        <w:t xml:space="preserve">Corn and natural-gas costs.</w:t>
      </w:r>
    </w:p>
    <w:p>
      <w:pPr>
        <w:pStyle w:val="Compact"/>
        <w:numPr>
          <w:ilvl w:val="0"/>
          <w:numId w:val="1007"/>
        </w:numPr>
      </w:pPr>
      <w:r>
        <w:t xml:space="preserve">Ethanol’s value relative to gasoline and other octane components.</w:t>
      </w:r>
    </w:p>
    <w:p>
      <w:pPr>
        <w:pStyle w:val="Compact"/>
        <w:numPr>
          <w:ilvl w:val="0"/>
          <w:numId w:val="1007"/>
        </w:numPr>
      </w:pPr>
      <w:r>
        <w:t xml:space="preserve">Recognition of production-tax-credit benefits.</w:t>
      </w:r>
    </w:p>
    <w:p>
      <w:pPr>
        <w:pStyle w:val="Compact"/>
        <w:numPr>
          <w:ilvl w:val="0"/>
          <w:numId w:val="1007"/>
        </w:numPr>
      </w:pPr>
      <w:r>
        <w:t xml:space="preserve">Whether management still expects additional tax-credit upside after final guidance is issued.</w:t>
      </w:r>
    </w:p>
    <w:p>
      <w:pPr>
        <w:pStyle w:val="FirstParagraph"/>
      </w:pPr>
      <w:r>
        <w:t xml:space="preserve">Ethanol is unlikely to determine the stock reaction, but another solid quarter would demonstrate that the earnings strength is not entirely dependent on conventional refining.</w:t>
      </w:r>
    </w:p>
    <w:p>
      <w:r>
        <w:pict>
          <v:rect style="width:0;height:1.5pt" o:hralign="center" o:hrstd="t" o:hr="t"/>
        </w:pict>
      </w:r>
    </w:p>
    <w:bookmarkEnd w:id="19"/>
    <w:bookmarkStart w:id="21" w:name="Xe756cb982dd1bf572c848261b596b4396c0eb18"/>
    <w:p>
      <w:pPr>
        <w:pStyle w:val="Heading2"/>
      </w:pPr>
      <w:r>
        <w:t xml:space="preserve">6. Buybacks could be nearly as important as the EPS result</w:t>
      </w:r>
    </w:p>
    <w:p>
      <w:pPr>
        <w:pStyle w:val="FirstParagraph"/>
      </w:pPr>
      <w:r>
        <w:t xml:space="preserve">Valero returned</w:t>
      </w:r>
      <w:r>
        <w:t xml:space="preserve"> </w:t>
      </w:r>
      <w:r>
        <w:rPr>
          <w:b/>
          <w:bCs/>
        </w:rPr>
        <w:t xml:space="preserve">$938 million</w:t>
      </w:r>
      <w:r>
        <w:t xml:space="preserve"> </w:t>
      </w:r>
      <w:r>
        <w:t xml:space="preserve">to stockholders during Q1 and ended March with $5.7 billion of cash. It subsequently disclosed that only $1.4 billion remained under its February $2.5 billion repurchase authorization as of June 30, implying substantial use of that program during the first half.</w:t>
      </w:r>
    </w:p>
    <w:p>
      <w:pPr>
        <w:pStyle w:val="BodyText"/>
      </w:pPr>
      <w:r>
        <w:t xml:space="preserve">On July 16, the board approved an additional</w:t>
      </w:r>
      <w:r>
        <w:t xml:space="preserve"> </w:t>
      </w:r>
      <w:r>
        <w:rPr>
          <w:b/>
          <w:bCs/>
        </w:rPr>
        <w:t xml:space="preserve">$5 billion</w:t>
      </w:r>
      <w:r>
        <w:t xml:space="preserve"> </w:t>
      </w:r>
      <w:r>
        <w:t xml:space="preserve">authorization, bringing remaining authorization at that date to as much as $6.4 billion. (</w:t>
      </w:r>
      <w:hyperlink r:id="rId20">
        <w:r>
          <w:rPr>
            <w:rStyle w:val="Hyperlink"/>
          </w:rPr>
          <w:t xml:space="preserve">sec.gov</w:t>
        </w:r>
      </w:hyperlink>
      <w:r>
        <w:t xml:space="preserve">)</w:t>
      </w:r>
    </w:p>
    <w:p>
      <w:pPr>
        <w:pStyle w:val="BodyText"/>
      </w:pPr>
      <w:r>
        <w:t xml:space="preserve">At the July 29 share price, that authorization is equivalent to roughly 7% of the Q1 diluted share count, although an authorization does not obligate Valero to complete those purchases.</w:t>
      </w:r>
    </w:p>
    <w:p>
      <w:pPr>
        <w:pStyle w:val="BodyText"/>
      </w:pPr>
      <w:r>
        <w:t xml:space="preserve">Key questions include:</w:t>
      </w:r>
    </w:p>
    <w:p>
      <w:pPr>
        <w:pStyle w:val="Compact"/>
        <w:numPr>
          <w:ilvl w:val="0"/>
          <w:numId w:val="1008"/>
        </w:numPr>
      </w:pPr>
      <w:r>
        <w:t xml:space="preserve">Actual Q2 repurchase spending and average price.</w:t>
      </w:r>
    </w:p>
    <w:p>
      <w:pPr>
        <w:pStyle w:val="Compact"/>
        <w:numPr>
          <w:ilvl w:val="0"/>
          <w:numId w:val="1008"/>
        </w:numPr>
      </w:pPr>
      <w:r>
        <w:t xml:space="preserve">The quarter-end diluted share count.</w:t>
      </w:r>
    </w:p>
    <w:p>
      <w:pPr>
        <w:pStyle w:val="Compact"/>
        <w:numPr>
          <w:ilvl w:val="0"/>
          <w:numId w:val="1008"/>
        </w:numPr>
      </w:pPr>
      <w:r>
        <w:t xml:space="preserve">Whether management is willing to raise the payout ratio during a windfall period.</w:t>
      </w:r>
    </w:p>
    <w:p>
      <w:pPr>
        <w:pStyle w:val="Compact"/>
        <w:numPr>
          <w:ilvl w:val="0"/>
          <w:numId w:val="1008"/>
        </w:numPr>
      </w:pPr>
      <w:r>
        <w:t xml:space="preserve">Whether cash remains near the high end of its</w:t>
      </w:r>
      <w:r>
        <w:t xml:space="preserve"> </w:t>
      </w:r>
      <m:oMath>
        <m:r>
          <m:t>4</m:t>
        </m:r>
        <m:r>
          <m:rPr>
            <m:sty m:val="p"/>
          </m:rPr>
          <m:t>−</m:t>
        </m:r>
      </m:oMath>
      <w:r>
        <w:t xml:space="preserve">5 billion long-term target.</w:t>
      </w:r>
    </w:p>
    <w:p>
      <w:pPr>
        <w:pStyle w:val="Compact"/>
        <w:numPr>
          <w:ilvl w:val="0"/>
          <w:numId w:val="1008"/>
        </w:numPr>
      </w:pPr>
      <w:r>
        <w:t xml:space="preserve">Whether Port Arthur repair spending changes the pace of returns.</w:t>
      </w:r>
    </w:p>
    <w:p>
      <w:pPr>
        <w:pStyle w:val="FirstParagraph"/>
      </w:pPr>
      <w:r>
        <w:t xml:space="preserve">Valero has already reduced diluted shares from 312 million in Q2 2025 to 298 million in Q1 2026. That shrinking denominator should amplify the per-share benefit of strong refining cash flow.</w:t>
      </w:r>
    </w:p>
    <w:p>
      <w:r>
        <w:pict>
          <v:rect style="width:0;height:1.5pt" o:hralign="center" o:hrstd="t" o:hr="t"/>
        </w:pict>
      </w:r>
    </w:p>
    <w:bookmarkEnd w:id="21"/>
    <w:bookmarkStart w:id="25" w:name="what-would-constitute-a-good-report"/>
    <w:p>
      <w:pPr>
        <w:pStyle w:val="Heading2"/>
      </w:pPr>
      <w:r>
        <w:t xml:space="preserve">What would constitute a good report?</w:t>
      </w:r>
    </w:p>
    <w:bookmarkStart w:id="22" w:name="bullish-outcome"/>
    <w:p>
      <w:pPr>
        <w:pStyle w:val="Heading3"/>
      </w:pPr>
      <w:r>
        <w:t xml:space="preserve">Bullish outcome</w:t>
      </w:r>
    </w:p>
    <w:p>
      <w:pPr>
        <w:pStyle w:val="Compact"/>
        <w:numPr>
          <w:ilvl w:val="0"/>
          <w:numId w:val="1009"/>
        </w:numPr>
      </w:pPr>
      <w:r>
        <w:t xml:space="preserve">Adjusted EPS meaningfully above approximately</w:t>
      </w:r>
      <w:r>
        <w:t xml:space="preserve"> </w:t>
      </w:r>
      <w:r>
        <w:rPr>
          <w:b/>
          <w:bCs/>
        </w:rPr>
        <w:t xml:space="preserve">$10</w:t>
      </w:r>
      <w:r>
        <w:t xml:space="preserve">.</w:t>
      </w:r>
    </w:p>
    <w:p>
      <w:pPr>
        <w:pStyle w:val="Compact"/>
        <w:numPr>
          <w:ilvl w:val="0"/>
          <w:numId w:val="1009"/>
        </w:numPr>
      </w:pPr>
      <w:r>
        <w:t xml:space="preserve">Strong refining-margin capture despite backwardation and volatility.</w:t>
      </w:r>
    </w:p>
    <w:p>
      <w:pPr>
        <w:pStyle w:val="Compact"/>
        <w:numPr>
          <w:ilvl w:val="0"/>
          <w:numId w:val="1009"/>
        </w:numPr>
      </w:pPr>
      <w:r>
        <w:t xml:space="preserve">Port Arthur operations largely normalized, with a credible repair timeline.</w:t>
      </w:r>
    </w:p>
    <w:p>
      <w:pPr>
        <w:pStyle w:val="Compact"/>
        <w:numPr>
          <w:ilvl w:val="0"/>
          <w:numId w:val="1009"/>
        </w:numPr>
      </w:pPr>
      <w:r>
        <w:t xml:space="preserve">Renewable diesel remains solidly profitable.</w:t>
      </w:r>
    </w:p>
    <w:p>
      <w:pPr>
        <w:pStyle w:val="Compact"/>
        <w:numPr>
          <w:ilvl w:val="0"/>
          <w:numId w:val="1009"/>
        </w:numPr>
      </w:pPr>
      <w:r>
        <w:t xml:space="preserve">Large Q2 buybacks and continued commitment to aggressive cash returns.</w:t>
      </w:r>
    </w:p>
    <w:p>
      <w:pPr>
        <w:pStyle w:val="Compact"/>
        <w:numPr>
          <w:ilvl w:val="0"/>
          <w:numId w:val="1009"/>
        </w:numPr>
      </w:pPr>
      <w:r>
        <w:t xml:space="preserve">Constructive Q3 commentary despite recent commodity volatility.</w:t>
      </w:r>
    </w:p>
    <w:p>
      <w:pPr>
        <w:pStyle w:val="Compact"/>
        <w:numPr>
          <w:ilvl w:val="0"/>
          <w:numId w:val="1009"/>
        </w:numPr>
      </w:pPr>
      <w:r>
        <w:t xml:space="preserve">St. Charles FCC optimization remains on schedule for Q3 startup.</w:t>
      </w:r>
    </w:p>
    <w:bookmarkEnd w:id="22"/>
    <w:bookmarkStart w:id="23" w:name="neutral-outcome"/>
    <w:p>
      <w:pPr>
        <w:pStyle w:val="Heading3"/>
      </w:pPr>
      <w:r>
        <w:t xml:space="preserve">Neutral outcome</w:t>
      </w:r>
    </w:p>
    <w:p>
      <w:pPr>
        <w:pStyle w:val="Compact"/>
        <w:numPr>
          <w:ilvl w:val="0"/>
          <w:numId w:val="1010"/>
        </w:numPr>
      </w:pPr>
      <w:r>
        <w:t xml:space="preserve">EPS in the</w:t>
      </w:r>
      <w:r>
        <w:t xml:space="preserve"> </w:t>
      </w:r>
      <m:oMath>
        <m:r>
          <m:t>9.50</m:t>
        </m:r>
        <m:r>
          <m:rPr>
            <m:sty m:val="p"/>
          </m:rPr>
          <m:t>−</m:t>
        </m:r>
      </m:oMath>
      <w:r>
        <w:rPr>
          <w:b/>
          <w:bCs/>
        </w:rPr>
        <w:t xml:space="preserve">10.50</w:t>
      </w:r>
      <w:r>
        <w:t xml:space="preserve"> </w:t>
      </w:r>
      <w:r>
        <w:t xml:space="preserve">area.</w:t>
      </w:r>
    </w:p>
    <w:p>
      <w:pPr>
        <w:pStyle w:val="Compact"/>
        <w:numPr>
          <w:ilvl w:val="0"/>
          <w:numId w:val="1010"/>
        </w:numPr>
      </w:pPr>
      <w:r>
        <w:t xml:space="preserve">Strong benchmark margins partly offset by Port Arthur and lower throughput.</w:t>
      </w:r>
    </w:p>
    <w:p>
      <w:pPr>
        <w:pStyle w:val="Compact"/>
        <w:numPr>
          <w:ilvl w:val="0"/>
          <w:numId w:val="1010"/>
        </w:numPr>
      </w:pPr>
      <w:r>
        <w:t xml:space="preserve">No major change to capital guidance.</w:t>
      </w:r>
    </w:p>
    <w:p>
      <w:pPr>
        <w:pStyle w:val="Compact"/>
        <w:numPr>
          <w:ilvl w:val="0"/>
          <w:numId w:val="1010"/>
        </w:numPr>
      </w:pPr>
      <w:r>
        <w:t xml:space="preserve">Management remains positive on refining but avoids extrapolating current margins.</w:t>
      </w:r>
    </w:p>
    <w:p>
      <w:pPr>
        <w:pStyle w:val="Compact"/>
        <w:numPr>
          <w:ilvl w:val="0"/>
          <w:numId w:val="1010"/>
        </w:numPr>
      </w:pPr>
      <w:r>
        <w:t xml:space="preserve">Buybacks continue at a healthy but not exceptional pace.</w:t>
      </w:r>
    </w:p>
    <w:bookmarkEnd w:id="23"/>
    <w:bookmarkStart w:id="24" w:name="bearish-outcome"/>
    <w:p>
      <w:pPr>
        <w:pStyle w:val="Heading3"/>
      </w:pPr>
      <w:r>
        <w:t xml:space="preserve">Bearish outcome</w:t>
      </w:r>
    </w:p>
    <w:p>
      <w:pPr>
        <w:pStyle w:val="Compact"/>
        <w:numPr>
          <w:ilvl w:val="0"/>
          <w:numId w:val="1011"/>
        </w:numPr>
      </w:pPr>
      <w:r>
        <w:t xml:space="preserve">EPS below approximately</w:t>
      </w:r>
      <w:r>
        <w:t xml:space="preserve"> </w:t>
      </w:r>
      <w:r>
        <w:rPr>
          <w:b/>
          <w:bCs/>
        </w:rPr>
        <w:t xml:space="preserve">$9</w:t>
      </w:r>
      <w:r>
        <w:t xml:space="preserve"> </w:t>
      </w:r>
      <w:r>
        <w:t xml:space="preserve">despite the favorable margin backdrop.</w:t>
      </w:r>
    </w:p>
    <w:p>
      <w:pPr>
        <w:pStyle w:val="Compact"/>
        <w:numPr>
          <w:ilvl w:val="0"/>
          <w:numId w:val="1011"/>
        </w:numPr>
      </w:pPr>
      <w:r>
        <w:t xml:space="preserve">Weak capture caused by operational outages, hedging, backwardation or product-placement issues.</w:t>
      </w:r>
    </w:p>
    <w:p>
      <w:pPr>
        <w:pStyle w:val="Compact"/>
        <w:numPr>
          <w:ilvl w:val="0"/>
          <w:numId w:val="1011"/>
        </w:numPr>
      </w:pPr>
      <w:r>
        <w:t xml:space="preserve">Port Arthur repairs extend well into the second half.</w:t>
      </w:r>
    </w:p>
    <w:p>
      <w:pPr>
        <w:pStyle w:val="Compact"/>
        <w:numPr>
          <w:ilvl w:val="0"/>
          <w:numId w:val="1011"/>
        </w:numPr>
      </w:pPr>
      <w:r>
        <w:t xml:space="preserve">Material incremental capital requirements or insurance uncertainty.</w:t>
      </w:r>
    </w:p>
    <w:p>
      <w:pPr>
        <w:pStyle w:val="Compact"/>
        <w:numPr>
          <w:ilvl w:val="0"/>
          <w:numId w:val="1011"/>
        </w:numPr>
      </w:pPr>
      <w:r>
        <w:t xml:space="preserve">Renewable-diesel profitability slips unexpectedly.</w:t>
      </w:r>
    </w:p>
    <w:p>
      <w:pPr>
        <w:pStyle w:val="Compact"/>
        <w:numPr>
          <w:ilvl w:val="0"/>
          <w:numId w:val="1011"/>
        </w:numPr>
      </w:pPr>
      <w:r>
        <w:t xml:space="preserve">Cautious Q3 guidance suggesting demand destruction or rapidly weakening cracks.</w:t>
      </w:r>
    </w:p>
    <w:p>
      <w:r>
        <w:pict>
          <v:rect style="width:0;height:1.5pt" o:hralign="center" o:hrstd="t" o:hr="t"/>
        </w:pict>
      </w:r>
    </w:p>
    <w:bookmarkEnd w:id="24"/>
    <w:bookmarkEnd w:id="25"/>
    <w:bookmarkStart w:id="26" w:name="questions-for-the-conference-call"/>
    <w:p>
      <w:pPr>
        <w:pStyle w:val="Heading2"/>
      </w:pPr>
      <w:r>
        <w:t xml:space="preserve">Questions for the conference call</w:t>
      </w:r>
    </w:p>
    <w:p>
      <w:pPr>
        <w:pStyle w:val="Compact"/>
        <w:numPr>
          <w:ilvl w:val="0"/>
          <w:numId w:val="1012"/>
        </w:numPr>
      </w:pPr>
      <w:r>
        <w:rPr>
          <w:b/>
          <w:bCs/>
        </w:rPr>
        <w:t xml:space="preserve">What was the Q2 refining capture rate, and what were the largest differences from benchmark indicators?</w:t>
      </w:r>
    </w:p>
    <w:p>
      <w:pPr>
        <w:pStyle w:val="Compact"/>
        <w:numPr>
          <w:ilvl w:val="0"/>
          <w:numId w:val="1012"/>
        </w:numPr>
      </w:pPr>
      <w:r>
        <w:rPr>
          <w:b/>
          <w:bCs/>
        </w:rPr>
        <w:t xml:space="preserve">When will Port Arthur’s diesel and kerosene hydrotreaters return to service?</w:t>
      </w:r>
    </w:p>
    <w:p>
      <w:pPr>
        <w:pStyle w:val="Compact"/>
        <w:numPr>
          <w:ilvl w:val="0"/>
          <w:numId w:val="1012"/>
        </w:numPr>
      </w:pPr>
      <w:r>
        <w:rPr>
          <w:b/>
          <w:bCs/>
        </w:rPr>
        <w:t xml:space="preserve">How much Q2 earnings were lost because of Port Arthur?</w:t>
      </w:r>
    </w:p>
    <w:p>
      <w:pPr>
        <w:pStyle w:val="Compact"/>
        <w:numPr>
          <w:ilvl w:val="0"/>
          <w:numId w:val="1012"/>
        </w:numPr>
      </w:pPr>
      <w:r>
        <w:rPr>
          <w:b/>
          <w:bCs/>
        </w:rPr>
        <w:t xml:space="preserve">How much stock was repurchased in Q2, and how should investors interpret the new $5 billion authorization?</w:t>
      </w:r>
    </w:p>
    <w:p>
      <w:pPr>
        <w:pStyle w:val="Compact"/>
        <w:numPr>
          <w:ilvl w:val="0"/>
          <w:numId w:val="1012"/>
        </w:numPr>
      </w:pPr>
      <w:r>
        <w:rPr>
          <w:b/>
          <w:bCs/>
        </w:rPr>
        <w:t xml:space="preserve">Are diesel and jet inventories still low enough to support margins after the summer?</w:t>
      </w:r>
    </w:p>
    <w:p>
      <w:pPr>
        <w:pStyle w:val="Compact"/>
        <w:numPr>
          <w:ilvl w:val="0"/>
          <w:numId w:val="1012"/>
        </w:numPr>
      </w:pPr>
      <w:r>
        <w:rPr>
          <w:b/>
          <w:bCs/>
        </w:rPr>
        <w:t xml:space="preserve">How much of the current strength is structural versus geopolitical and temporary?</w:t>
      </w:r>
    </w:p>
    <w:p>
      <w:pPr>
        <w:pStyle w:val="Compact"/>
        <w:numPr>
          <w:ilvl w:val="0"/>
          <w:numId w:val="1012"/>
        </w:numPr>
      </w:pPr>
      <w:r>
        <w:rPr>
          <w:b/>
          <w:bCs/>
        </w:rPr>
        <w:t xml:space="preserve">Has higher crude pricing begun to affect gasoline, diesel or export demand?</w:t>
      </w:r>
    </w:p>
    <w:p>
      <w:pPr>
        <w:pStyle w:val="Compact"/>
        <w:numPr>
          <w:ilvl w:val="0"/>
          <w:numId w:val="1012"/>
        </w:numPr>
      </w:pPr>
      <w:r>
        <w:rPr>
          <w:b/>
          <w:bCs/>
        </w:rPr>
        <w:t xml:space="preserve">What is the expected earnings contribution from the St. Charles FCC optimization project?</w:t>
      </w:r>
    </w:p>
    <w:p>
      <w:pPr>
        <w:pStyle w:val="Compact"/>
        <w:numPr>
          <w:ilvl w:val="0"/>
          <w:numId w:val="1012"/>
        </w:numPr>
      </w:pPr>
      <w:r>
        <w:rPr>
          <w:b/>
          <w:bCs/>
        </w:rPr>
        <w:t xml:space="preserve">What normalized profitability should investors use for renewable diesel under current policy?</w:t>
      </w:r>
    </w:p>
    <w:p>
      <w:pPr>
        <w:pStyle w:val="Compact"/>
        <w:numPr>
          <w:ilvl w:val="0"/>
          <w:numId w:val="1012"/>
        </w:numPr>
      </w:pPr>
      <w:r>
        <w:rPr>
          <w:b/>
          <w:bCs/>
        </w:rPr>
        <w:t xml:space="preserve">Are there any remaining Benicia costs that will affect Q3 or later periods?</w:t>
      </w:r>
    </w:p>
    <w:bookmarkEnd w:id="26"/>
    <w:bookmarkStart w:id="27" w:name="bottom-line"/>
    <w:p>
      <w:pPr>
        <w:pStyle w:val="Heading2"/>
      </w:pPr>
      <w:r>
        <w:t xml:space="preserve">Bottom line</w:t>
      </w:r>
    </w:p>
    <w:p>
      <w:pPr>
        <w:pStyle w:val="FirstParagraph"/>
      </w:pPr>
      <w:r>
        <w:t xml:space="preserve">The setup is fundamentally favorable, and a large year-over-year earnings increase is highly likely. But the bar is also high: consensus EPS has moved toward $10, the stock has rallied sharply, and Valero’s board has already signaled confidence through a major repurchase authorization.</w:t>
      </w:r>
    </w:p>
    <w:p>
      <w:pPr>
        <w:pStyle w:val="BodyText"/>
      </w:pPr>
      <w:r>
        <w:t xml:space="preserve">The most important indicators tomorrow will be</w:t>
      </w:r>
      <w:r>
        <w:t xml:space="preserve"> </w:t>
      </w:r>
      <w:r>
        <w:rPr>
          <w:b/>
          <w:bCs/>
        </w:rPr>
        <w:t xml:space="preserve">refining capture, Port Arthur’s recovery, Q3 margin commentary and the pace of buybacks</w:t>
      </w:r>
      <w:r>
        <w:t xml:space="preserve">. A clean result on those four points would matter more than a modest headline EPS beat.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valero.com/news/news-details/2026/Valero-Energy-Corporation-to-Announce-Second-Quarter-2026-Earnings-Results-on-July-30-2026/default.aspx?utm_source=openai" TargetMode="External" /><Relationship Type="http://schemas.openxmlformats.org/officeDocument/2006/relationships/hyperlink" Id="rId13" Target="https://investorvalero.com/news/news-details/2026/Valero-Energy-Reports-First-Quarter-2026-Results/default.aspx?utm_source=openai" TargetMode="External" /><Relationship Type="http://schemas.openxmlformats.org/officeDocument/2006/relationships/hyperlink" Id="rId16" Target="https://www.beniciarefinery.com/?utm_source=openai" TargetMode="External" /><Relationship Type="http://schemas.openxmlformats.org/officeDocument/2006/relationships/hyperlink" Id="rId20" Target="https://www.sec.gov/Archives/edgar/data/1035002/000162828026048495/vlo-20260716.htm?utm_source=openai" TargetMode="External" /><Relationship Type="http://schemas.openxmlformats.org/officeDocument/2006/relationships/hyperlink" Id="rId11" Target="https://www.tipranks.com/stocks/vlo/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valero.com/news/news-details/2026/Valero-Energy-Corporation-to-Announce-Second-Quarter-2026-Earnings-Results-on-July-30-2026/default.aspx?utm_source=openai" TargetMode="External" /><Relationship Type="http://schemas.openxmlformats.org/officeDocument/2006/relationships/hyperlink" Id="rId13" Target="https://investorvalero.com/news/news-details/2026/Valero-Energy-Reports-First-Quarter-2026-Results/default.aspx?utm_source=openai" TargetMode="External" /><Relationship Type="http://schemas.openxmlformats.org/officeDocument/2006/relationships/hyperlink" Id="rId16" Target="https://www.beniciarefinery.com/?utm_source=openai" TargetMode="External" /><Relationship Type="http://schemas.openxmlformats.org/officeDocument/2006/relationships/hyperlink" Id="rId20" Target="https://www.sec.gov/Archives/edgar/data/1035002/000162828026048495/vlo-20260716.htm?utm_source=openai" TargetMode="External" /><Relationship Type="http://schemas.openxmlformats.org/officeDocument/2006/relationships/hyperlink" Id="rId11" Target="https://www.tipranks.com/stocks/vlo/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2026-07-29T18:46:29Z</dcterms:created>
  <dcterms:modified xsi:type="dcterms:W3CDTF">2026-07-29T18:46:29Z</dcterms:modified>
</cp:coreProperties>
</file>

<file path=docProps/custom.xml><?xml version="1.0" encoding="utf-8"?>
<Properties xmlns="http://schemas.openxmlformats.org/officeDocument/2006/custom-properties" xmlns:vt="http://schemas.openxmlformats.org/officeDocument/2006/docPropsVTypes"/>
</file>