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4e41b52726ed8fe14d1b5635cae0e9ce620c0e"/>
    <w:p>
      <w:pPr>
        <w:pStyle w:val="Heading1"/>
      </w:pPr>
      <w:r>
        <w:t xml:space="preserve">Valero Energy (NYSE: VLO) — 2Q26 Earnings Preview</w:t>
      </w:r>
    </w:p>
    <w:p>
      <w:pPr>
        <w:pStyle w:val="FirstParagraph"/>
      </w:pPr>
      <w:r>
        <w:rPr>
          <w:b/>
          <w:bCs/>
        </w:rPr>
        <w:t xml:space="preserve">Earnings call:</w:t>
      </w:r>
      <w:r>
        <w:t xml:space="preserve"> </w:t>
      </w:r>
      <w:r>
        <w:t xml:space="preserve">Thursday, July 30, 2026</w:t>
      </w:r>
      <w:r>
        <w:br/>
      </w:r>
      <w:r>
        <w:rPr>
          <w:b/>
          <w:bCs/>
        </w:rPr>
        <w:t xml:space="preserve">Focus:</w:t>
      </w:r>
      <w:r>
        <w:t xml:space="preserve"> </w:t>
      </w:r>
      <w:r>
        <w:t xml:space="preserve">Refining capture, Port Arthur recovery, cash returns, and whether an exceptional macro backdrop is already priced in.</w:t>
      </w:r>
    </w:p>
    <w:bookmarkStart w:id="9" w:name="Xbf225b303f69e793ba3e132d81ea4e12699dbfc"/>
    <w:p>
      <w:pPr>
        <w:pStyle w:val="Heading2"/>
      </w:pPr>
      <w:r>
        <w:t xml:space="preserve">Investment view: strong setup, but the bar is high</w:t>
      </w:r>
    </w:p>
    <w:p>
      <w:pPr>
        <w:pStyle w:val="FirstParagraph"/>
      </w:pPr>
      <w:r>
        <w:t xml:space="preserve">Valero enters second-quarter results with fundamentals that remain unusually favorable for a complex, export-oriented refiner. The central investment debate is less likely to be whether 2Q earnings were strong and more likely to be: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much of the elevated market margin environment VLO captured;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Port Arthur downtime and crude backwardation diluted that capture;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management says about the durability of tight global refined-product balances into 2H26;</w:t>
      </w:r>
      <w:r>
        <w:t xml:space="preserve"> </w:t>
      </w:r>
      <w:r>
        <w:t xml:space="preserve">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substantial free cash flow will translate into an accelerated buyback cadence.</w:t>
      </w:r>
    </w:p>
    <w:p>
      <w:pPr>
        <w:pStyle w:val="FirstParagraph"/>
      </w:pPr>
      <w:r>
        <w:t xml:space="preserve">The equity has already reflected a meaningful portion of the bullish refining backdrop: VLO closed at</w:t>
      </w:r>
      <w:r>
        <w:t xml:space="preserve"> </w:t>
      </w:r>
      <w:r>
        <w:rPr>
          <w:b/>
          <w:bCs/>
        </w:rPr>
        <w:t xml:space="preserve">$303.04 on July 29</w:t>
      </w:r>
      <w:r>
        <w:t xml:space="preserve">, up about</w:t>
      </w:r>
      <w:r>
        <w:t xml:space="preserve"> </w:t>
      </w:r>
      <w:r>
        <w:rPr>
          <w:b/>
          <w:bCs/>
        </w:rPr>
        <w:t xml:space="preserve">20% from April 30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16% from June 30</w:t>
      </w:r>
      <w:r>
        <w:t xml:space="preserve">. That means a headline beat alone may not suffice; investors will likely require strong refining profitability, credible operational progress at Port Arthur, and constructive forward commentary.</w:t>
      </w:r>
    </w:p>
    <w:p>
      <w:r>
        <w:pict>
          <v:rect style="width:0;height:1.5pt" o:hralign="center" o:hrstd="t" o:hr="t"/>
        </w:pict>
      </w:r>
    </w:p>
    <w:bookmarkEnd w:id="9"/>
    <w:bookmarkStart w:id="13" w:name="what-matters-most-in-the-quarter"/>
    <w:p>
      <w:pPr>
        <w:pStyle w:val="Heading2"/>
      </w:pPr>
      <w:r>
        <w:t xml:space="preserve">What matters most in the quarter</w:t>
      </w:r>
    </w:p>
    <w:bookmarkStart w:id="10" w:name="Xdb1e6ced68878585bc5bd471603c89bcba4bc30"/>
    <w:p>
      <w:pPr>
        <w:pStyle w:val="Heading3"/>
      </w:pPr>
      <w:r>
        <w:t xml:space="preserve">1. Refining earnings and capture rate are the primary swing factors</w:t>
      </w:r>
    </w:p>
    <w:p>
      <w:pPr>
        <w:pStyle w:val="FirstParagraph"/>
      </w:pPr>
      <w:r>
        <w:t xml:space="preserve">In 1Q26, Valero generated</w:t>
      </w:r>
      <w:r>
        <w:t xml:space="preserve"> </w:t>
      </w:r>
      <m:oMath>
        <m:r>
          <m:t>1.8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r</m:t>
        </m:r>
        <m:r>
          <m:t>e</m:t>
        </m:r>
        <m:r>
          <m:t>f</m:t>
        </m:r>
        <m:r>
          <m:t>i</m:t>
        </m:r>
        <m:r>
          <m:t>n</m:t>
        </m:r>
        <m:r>
          <m:t>i</m:t>
        </m:r>
        <m:r>
          <m:t>n</m:t>
        </m:r>
        <m:r>
          <m:t>g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i</m:t>
        </m:r>
        <m:r>
          <m:t>n</m:t>
        </m:r>
        <m:r>
          <m:t>c</m:t>
        </m:r>
        <m:r>
          <m:t>o</m:t>
        </m:r>
        <m:r>
          <m:t>m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r</m:t>
        </m:r>
        <m:r>
          <m:t>e</m:t>
        </m:r>
        <m:r>
          <m:t>f</m:t>
        </m:r>
        <m:r>
          <m:t>i</m:t>
        </m:r>
        <m:r>
          <m:t>n</m:t>
        </m:r>
        <m:r>
          <m:t>i</m:t>
        </m:r>
        <m:r>
          <m:t>n</m:t>
        </m:r>
        <m:r>
          <m:t>g</m:t>
        </m:r>
        <m:r>
          <m:t>m</m:t>
        </m:r>
        <m:r>
          <m:t>a</m:t>
        </m:r>
        <m:r>
          <m:t>r</m:t>
        </m:r>
        <m:r>
          <m:t>g</m:t>
        </m:r>
        <m:r>
          <m:t>i</m:t>
        </m:r>
        <m:r>
          <m:t>n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14.90 per barrel</w:t>
      </w:r>
      <w:r>
        <w:t xml:space="preserve"> </w:t>
      </w:r>
      <w:r>
        <w:t xml:space="preserve">and adjusted refining operating income of</w:t>
      </w:r>
      <w:r>
        <w:t xml:space="preserve"> </w:t>
      </w:r>
      <w:r>
        <w:rPr>
          <w:b/>
          <w:bCs/>
        </w:rPr>
        <w:t xml:space="preserve">$6.98 per barrel</w:t>
      </w:r>
      <w:r>
        <w:t xml:space="preserve"> </w:t>
      </w:r>
      <w:r>
        <w:t xml:space="preserve">on</w:t>
      </w:r>
      <w:r>
        <w:t xml:space="preserve"> </w:t>
      </w:r>
      <w:r>
        <w:rPr>
          <w:b/>
          <w:bCs/>
        </w:rPr>
        <w:t xml:space="preserve">2.914 million barrels per day</w:t>
      </w:r>
      <w:r>
        <w:t xml:space="preserve"> </w:t>
      </w:r>
      <w:r>
        <w:t xml:space="preserve">of throughput.</w:t>
      </w:r>
    </w:p>
    <w:p>
      <w:pPr>
        <w:pStyle w:val="BodyText"/>
      </w:pPr>
      <w:r>
        <w:t xml:space="preserve">For 2Q26, management guided to: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2Q26 operating guide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Gulf Coast throughput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1.69–1.74 MMBbl/d</w:t>
            </w:r>
          </w:p>
        </w:tc>
      </w:tr>
      <w:tr>
        <w:tc>
          <w:tcPr/>
          <w:p>
            <w:pPr>
              <w:pStyle w:val="Compact"/>
            </w:pPr>
            <w:r>
              <w:t xml:space="preserve">Mid-Continent throughput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0.45–0.47 MMBbl/d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North Atlantic throughput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0.48–0.50 MMBbl/d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West Coast throughput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0.12–0.13 MMBbl/d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refining throughput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2.74–2.84 MMBbl/d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Refining cash operating expense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~$4.85/bbl</w:t>
            </w:r>
          </w:p>
        </w:tc>
      </w:tr>
    </w:tbl>
    <w:p>
      <w:pPr>
        <w:pStyle w:val="BodyText"/>
      </w:pPr>
      <w:r>
        <w:t xml:space="preserve">The total throughput midpoint implies a sequential decline from 1Q, principally reflecting reduced Port Arthur rates and the now-idled Benicia facility. Thus, the key question is whether stronger underlying cracks, favorable heavy-sour crude discounts, and high jet/diesel values more than offset lower volumes and the operational drag.</w:t>
      </w:r>
    </w:p>
    <w:p>
      <w:pPr>
        <w:pStyle w:val="BodyText"/>
      </w:pPr>
      <w:r>
        <w:t xml:space="preserve">Management previously highlighted several factors that should support capture:</w:t>
      </w:r>
    </w:p>
    <w:p>
      <w:pPr>
        <w:pStyle w:val="Compact"/>
        <w:numPr>
          <w:ilvl w:val="0"/>
          <w:numId w:val="1002"/>
        </w:numPr>
      </w:pPr>
      <w:r>
        <w:t xml:space="preserve">VLO’s Gulf Coast system has access to advantaged North American and heavy-sour feedstocks.</w:t>
      </w:r>
    </w:p>
    <w:p>
      <w:pPr>
        <w:pStyle w:val="Compact"/>
        <w:numPr>
          <w:ilvl w:val="0"/>
          <w:numId w:val="1002"/>
        </w:numPr>
      </w:pPr>
      <w:r>
        <w:t xml:space="preserve">The company was increasing jet production, including at facilities that had not historically maximized jet output.</w:t>
      </w:r>
    </w:p>
    <w:p>
      <w:pPr>
        <w:pStyle w:val="Compact"/>
        <w:numPr>
          <w:ilvl w:val="0"/>
          <w:numId w:val="1002"/>
        </w:numPr>
      </w:pPr>
      <w:r>
        <w:t xml:space="preserve">Heavy crude discounts and product premiums—especially for distillates and jet—were favorable.</w:t>
      </w:r>
    </w:p>
    <w:p>
      <w:pPr>
        <w:pStyle w:val="Compact"/>
        <w:numPr>
          <w:ilvl w:val="0"/>
          <w:numId w:val="1002"/>
        </w:numPr>
      </w:pPr>
      <w:r>
        <w:t xml:space="preserve">Its coastal system and export reach allow it to optimize into regions with product shortages.</w:t>
      </w:r>
    </w:p>
    <w:p>
      <w:pPr>
        <w:pStyle w:val="FirstParagraph"/>
      </w:pPr>
      <w:r>
        <w:rPr>
          <w:b/>
          <w:bCs/>
        </w:rPr>
        <w:t xml:space="preserve">Investor read-through:</w:t>
      </w:r>
      <w:r>
        <w:t xml:space="preserve"> </w:t>
      </w:r>
      <w:r>
        <w:t xml:space="preserve">Strong reported refining margins are important, but the more revealing measure will be</w:t>
      </w:r>
      <w:r>
        <w:t xml:space="preserve"> </w:t>
      </w:r>
      <w:r>
        <w:rPr>
          <w:b/>
          <w:bCs/>
        </w:rPr>
        <w:t xml:space="preserve">refining operating income per barrel</w:t>
      </w:r>
      <w:r>
        <w:t xml:space="preserve"> </w:t>
      </w:r>
      <w:r>
        <w:t xml:space="preserve">relative to the market backdrop. A weak capture outcome would raise questions about crude backwardation, Port Arthur product-yield losses, or commercial/hedging effects.</w:t>
      </w:r>
    </w:p>
    <w:p>
      <w:r>
        <w:pict>
          <v:rect style="width:0;height:1.5pt" o:hralign="center" o:hrstd="t" o:hr="t"/>
        </w:pict>
      </w:r>
    </w:p>
    <w:bookmarkEnd w:id="10"/>
    <w:bookmarkStart w:id="11" w:name="Xe494fbb6ed5c2b0c76237e79f01e9de3b16decb"/>
    <w:p>
      <w:pPr>
        <w:pStyle w:val="Heading3"/>
      </w:pPr>
      <w:r>
        <w:t xml:space="preserve">2. Port Arthur is the operational risk—and the biggest potential upside catalyst</w:t>
      </w:r>
    </w:p>
    <w:p>
      <w:pPr>
        <w:pStyle w:val="FirstParagraph"/>
      </w:pPr>
      <w:r>
        <w:t xml:space="preserve">A March fire at the Port Arthur diesel hydrotreater caused a precautionary full-refinery shutdown. By the end of April, Valero had restored major processing units and expected refinery throughput to look broadly normalized by May 1. However:</w:t>
      </w:r>
    </w:p>
    <w:p>
      <w:pPr>
        <w:pStyle w:val="Compact"/>
        <w:numPr>
          <w:ilvl w:val="0"/>
          <w:numId w:val="1003"/>
        </w:numPr>
      </w:pPr>
      <w:r>
        <w:t xml:space="preserve">The damaged</w:t>
      </w:r>
      <w:r>
        <w:t xml:space="preserve"> </w:t>
      </w:r>
      <w:r>
        <w:rPr>
          <w:b/>
          <w:bCs/>
        </w:rPr>
        <w:t xml:space="preserve">diesel hydrotreater remained down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An adjacent</w:t>
      </w:r>
      <w:r>
        <w:t xml:space="preserve"> </w:t>
      </w:r>
      <w:r>
        <w:rPr>
          <w:b/>
          <w:bCs/>
        </w:rPr>
        <w:t xml:space="preserve">kerosene hydrotreater</w:t>
      </w:r>
      <w:r>
        <w:t xml:space="preserve"> </w:t>
      </w:r>
      <w:r>
        <w:t xml:space="preserve">was expected back in 3Q;</w:t>
      </w:r>
    </w:p>
    <w:p>
      <w:pPr>
        <w:pStyle w:val="Compact"/>
        <w:numPr>
          <w:ilvl w:val="0"/>
          <w:numId w:val="1003"/>
        </w:numPr>
      </w:pPr>
      <w:r>
        <w:t xml:space="preserve">Management said the diesel-hydrotreater rebuild timeline and repair cost were still under assessment; and</w:t>
      </w:r>
    </w:p>
    <w:p>
      <w:pPr>
        <w:pStyle w:val="Compact"/>
        <w:numPr>
          <w:ilvl w:val="0"/>
          <w:numId w:val="1003"/>
        </w:numPr>
      </w:pPr>
      <w:r>
        <w:t xml:space="preserve">Any additional 2026 capital spending was expected to be insurance-covered, subject to deductibles.</w:t>
      </w:r>
    </w:p>
    <w:p>
      <w:pPr>
        <w:pStyle w:val="FirstParagraph"/>
      </w:pPr>
      <w:r>
        <w:t xml:space="preserve">This is important because Port Arthur’s residual outage is not just a volume issue: it can constrain the company’s ability to maximize high-value distillate and jet yields during a period when those products have been particularly valuable.</w:t>
      </w:r>
    </w:p>
    <w:p>
      <w:pPr>
        <w:pStyle w:val="BodyText"/>
      </w:pPr>
      <w:r>
        <w:rPr>
          <w:b/>
          <w:bCs/>
        </w:rPr>
        <w:t xml:space="preserve">What to listen for</w:t>
      </w:r>
    </w:p>
    <w:p>
      <w:pPr>
        <w:pStyle w:val="Compact"/>
        <w:numPr>
          <w:ilvl w:val="0"/>
          <w:numId w:val="1004"/>
        </w:numPr>
      </w:pPr>
      <w:r>
        <w:t xml:space="preserve">A specific repair timeline for the diesel hydrotreater;</w:t>
      </w:r>
    </w:p>
    <w:p>
      <w:pPr>
        <w:pStyle w:val="Compact"/>
        <w:numPr>
          <w:ilvl w:val="0"/>
          <w:numId w:val="1004"/>
        </w:numPr>
      </w:pPr>
      <w:r>
        <w:t xml:space="preserve">Updated insurance-recovery expectations and net capital impact;</w:t>
      </w:r>
    </w:p>
    <w:p>
      <w:pPr>
        <w:pStyle w:val="Compact"/>
        <w:numPr>
          <w:ilvl w:val="0"/>
          <w:numId w:val="1004"/>
        </w:numPr>
      </w:pPr>
      <w:r>
        <w:t xml:space="preserve">Whether the outage materially reduced 2Q refining capture;</w:t>
      </w:r>
    </w:p>
    <w:p>
      <w:pPr>
        <w:pStyle w:val="Compact"/>
        <w:numPr>
          <w:ilvl w:val="0"/>
          <w:numId w:val="1004"/>
        </w:numPr>
      </w:pPr>
      <w:r>
        <w:t xml:space="preserve">Any indication that repairs or product-yield limitations extend beyond 3Q.</w:t>
      </w:r>
    </w:p>
    <w:p>
      <w:pPr>
        <w:pStyle w:val="FirstParagraph"/>
      </w:pPr>
      <w:r>
        <w:t xml:space="preserve">A clearer and shorter-than-feared recovery path could be a meaningful positive for estimates and sentiment.</w:t>
      </w:r>
    </w:p>
    <w:p>
      <w:r>
        <w:pict>
          <v:rect style="width:0;height:1.5pt" o:hralign="center" o:hrstd="t" o:hr="t"/>
        </w:pict>
      </w:r>
    </w:p>
    <w:bookmarkEnd w:id="11"/>
    <w:bookmarkStart w:id="12" w:name="Xcc2c974d0a968b45a654d0794effeef70feb62a"/>
    <w:p>
      <w:pPr>
        <w:pStyle w:val="Heading3"/>
      </w:pPr>
      <w:r>
        <w:t xml:space="preserve">3. The macro is supportive—but 2Q and 3Q should not be conflated</w:t>
      </w:r>
    </w:p>
    <w:p>
      <w:pPr>
        <w:pStyle w:val="FirstParagraph"/>
      </w:pPr>
      <w:r>
        <w:t xml:space="preserve">Management entered the quarter already constructive on refining fundamentals, citing constrained global refining capacity, low product inventories, resilient domestic demand, and strong export pull for U.S. distillates and jet fuel.</w:t>
      </w:r>
    </w:p>
    <w:p>
      <w:pPr>
        <w:pStyle w:val="BodyText"/>
      </w:pPr>
      <w:r>
        <w:t xml:space="preserve">More recently, the energy market has become still more volatile: oil prices rose sharply in late July amid renewed geopolitical and shipping-disruption concerns. That development is more relevant to</w:t>
      </w:r>
      <w:r>
        <w:t xml:space="preserve"> </w:t>
      </w:r>
      <w:r>
        <w:rPr>
          <w:b/>
          <w:bCs/>
        </w:rPr>
        <w:t xml:space="preserve">current-quarter/3Q economics and the outlook discussion</w:t>
      </w:r>
      <w:r>
        <w:t xml:space="preserve"> </w:t>
      </w:r>
      <w:r>
        <w:t xml:space="preserve">than to the reported 2Q result. Investors should therefore separate: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2Q reported performance:</w:t>
      </w:r>
      <w:r>
        <w:t xml:space="preserve"> </w:t>
      </w:r>
      <w:r>
        <w:t xml:space="preserve">actual realized margins, capture, downtime, inventory/hedging effects, and cash flow; from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2H outlook:</w:t>
      </w:r>
      <w:r>
        <w:t xml:space="preserve"> </w:t>
      </w:r>
      <w:r>
        <w:t xml:space="preserve">sustainability of product tightness, export demand, crude availability, freight, backwardation, and the risk of demand destruction from higher fuel prices.</w:t>
      </w:r>
    </w:p>
    <w:p>
      <w:pPr>
        <w:pStyle w:val="FirstParagraph"/>
      </w:pPr>
      <w:r>
        <w:t xml:space="preserve">A constructive call would emphasize that the company can source crude reliably, run its complex Gulf Coast system at high utilization, and place products globally. A more cautious tone on forward capture—particularly due to backwardation, physical-market dislocations, or worsening Port Arthur impacts—would matter even if the historical quarter is strong.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6" w:name="secondary-earnings-drivers"/>
    <w:p>
      <w:pPr>
        <w:pStyle w:val="Heading2"/>
      </w:pPr>
      <w:r>
        <w:t xml:space="preserve">Secondary earnings drivers</w:t>
      </w:r>
    </w:p>
    <w:bookmarkStart w:id="14" w:name="Xc61d4a6cfbda2bc7ecd8792f430acc768741ea2"/>
    <w:p>
      <w:pPr>
        <w:pStyle w:val="Heading3"/>
      </w:pPr>
      <w:r>
        <w:t xml:space="preserve">Renewable Diesel: improved profitability, but mark-to-market risk remains</w:t>
      </w:r>
    </w:p>
    <w:p>
      <w:pPr>
        <w:pStyle w:val="FirstParagraph"/>
      </w:pPr>
      <w:r>
        <w:t xml:space="preserve">Valero’s Renewable Diesel segment swung to</w:t>
      </w:r>
      <w:r>
        <w:t xml:space="preserve"> </w:t>
      </w:r>
      <w:r>
        <w:rPr>
          <w:b/>
          <w:bCs/>
        </w:rPr>
        <w:t xml:space="preserve">$139 million of operating income</w:t>
      </w:r>
      <w:r>
        <w:t xml:space="preserve"> </w:t>
      </w:r>
      <w:r>
        <w:t xml:space="preserve">in 1Q26 from a loss a year earlier. Management guided to: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~320 million gallons</w:t>
      </w:r>
      <w:r>
        <w:t xml:space="preserve"> </w:t>
      </w:r>
      <w:r>
        <w:t xml:space="preserve">of 2Q renewable diesel sales;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~</w:t>
      </w:r>
      <m:oMath>
        <m:r>
          <m:t>0.46</m:t>
        </m:r>
        <m:r>
          <m:rPr>
            <m:sty m:val="p"/>
          </m:rPr>
          <m:t>/</m:t>
        </m:r>
        <m:r>
          <m:t>g</m:t>
        </m:r>
        <m:r>
          <m:t>a</m:t>
        </m:r>
        <m:r>
          <m:t>l</m:t>
        </m:r>
        <m:r>
          <m:t>l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e</m:t>
        </m:r>
        <m:r>
          <m:t>x</m:t>
        </m:r>
        <m:r>
          <m:t>p</m:t>
        </m:r>
        <m:r>
          <m:t>e</m:t>
        </m:r>
        <m:r>
          <m:t>n</m:t>
        </m:r>
        <m:r>
          <m:t>s</m:t>
        </m:r>
        <m:r>
          <m:t>e</m:t>
        </m:r>
        <m:r>
          <m:rPr>
            <m:sty m:val="p"/>
          </m:rPr>
          <m:t>,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0.22/gallon</w:t>
      </w:r>
      <w:r>
        <w:t xml:space="preserve"> </w:t>
      </w:r>
      <w:r>
        <w:t xml:space="preserve">of noncash cost.</w:t>
      </w:r>
    </w:p>
    <w:p>
      <w:pPr>
        <w:pStyle w:val="FirstParagraph"/>
      </w:pPr>
      <w:r>
        <w:t xml:space="preserve">The 1Q renewable diesel margin was</w:t>
      </w:r>
      <w:r>
        <w:t xml:space="preserve"> </w:t>
      </w:r>
      <w:r>
        <w:rPr>
          <w:b/>
          <w:bCs/>
        </w:rPr>
        <w:t xml:space="preserve">$1.11/gallon</w:t>
      </w:r>
      <w:r>
        <w:t xml:space="preserve">, supported by stronger RIN economics. Management subsequently indicated that 2Q segment margins should be higher than in 1Q, although rising commodity prices can create a headwind from forward feedstock-position mark-to-market effects.</w:t>
      </w:r>
    </w:p>
    <w:p>
      <w:pPr>
        <w:pStyle w:val="BodyText"/>
      </w:pPr>
      <w:r>
        <w:rPr>
          <w:b/>
          <w:bCs/>
        </w:rPr>
        <w:t xml:space="preserve">Watch:</w:t>
      </w:r>
      <w:r>
        <w:t xml:space="preserve"> </w:t>
      </w:r>
      <w:r>
        <w:t xml:space="preserve">realized renewable diesel margin, feedstock-cost exposure, RIN/credit commentary, and any update on sustainable aviation fuel policy economics.</w:t>
      </w:r>
    </w:p>
    <w:bookmarkEnd w:id="14"/>
    <w:bookmarkStart w:id="15" w:name="X921f9dd90335c9b0e38941c1d176d76dcdb30d6"/>
    <w:p>
      <w:pPr>
        <w:pStyle w:val="Heading3"/>
      </w:pPr>
      <w:r>
        <w:t xml:space="preserve">Ethanol: a meaningful contributor, with policy upside</w:t>
      </w:r>
    </w:p>
    <w:p>
      <w:pPr>
        <w:pStyle w:val="FirstParagraph"/>
      </w:pPr>
      <w:r>
        <w:t xml:space="preserve">Ethanol contributed</w:t>
      </w:r>
      <w:r>
        <w:t xml:space="preserve"> </w:t>
      </w:r>
      <w:r>
        <w:rPr>
          <w:b/>
          <w:bCs/>
        </w:rPr>
        <w:t xml:space="preserve">$90 million</w:t>
      </w:r>
      <w:r>
        <w:t xml:space="preserve"> </w:t>
      </w:r>
      <w:r>
        <w:t xml:space="preserve">of operating income in 1Q26, versus $20 million a year earlier. The 2Q guide called for:</w:t>
      </w:r>
    </w:p>
    <w:p>
      <w:pPr>
        <w:pStyle w:val="Compact"/>
        <w:numPr>
          <w:ilvl w:val="0"/>
          <w:numId w:val="1007"/>
        </w:numPr>
      </w:pPr>
      <w:r>
        <w:t xml:space="preserve">Production of</w:t>
      </w:r>
      <w:r>
        <w:t xml:space="preserve"> </w:t>
      </w:r>
      <w:r>
        <w:rPr>
          <w:b/>
          <w:bCs/>
        </w:rPr>
        <w:t xml:space="preserve">~4.7 million gallons/day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Operating expense of</w:t>
      </w:r>
      <w:r>
        <w:t xml:space="preserve"> </w:t>
      </w:r>
      <w:r>
        <w:rPr>
          <w:b/>
          <w:bCs/>
        </w:rPr>
        <w:t xml:space="preserve">~</w:t>
      </w:r>
      <m:oMath>
        <m:r>
          <m:t>0.39</m:t>
        </m:r>
        <m:r>
          <m:rPr>
            <m:sty m:val="p"/>
          </m:rPr>
          <m:t>/</m:t>
        </m:r>
        <m:r>
          <m:t>g</m:t>
        </m:r>
        <m:r>
          <m:t>a</m:t>
        </m:r>
        <m:r>
          <m:t>l</m:t>
        </m:r>
        <m:r>
          <m:t>l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0.04/gallon</w:t>
      </w:r>
      <w:r>
        <w:t xml:space="preserve"> </w:t>
      </w:r>
      <w:r>
        <w:t xml:space="preserve">of noncash cost.</w:t>
      </w:r>
    </w:p>
    <w:p>
      <w:pPr>
        <w:pStyle w:val="FirstParagraph"/>
      </w:pPr>
      <w:r>
        <w:t xml:space="preserve">Management has highlighted growing global ethanol demand, rising value of ethanol as an octane component, and possible incremental support from the Section 45Z clean-fuel-production credit. In 1Q, it recognized</w:t>
      </w:r>
      <w:r>
        <w:t xml:space="preserve"> </w:t>
      </w:r>
      <w:r>
        <w:rPr>
          <w:b/>
          <w:bCs/>
        </w:rPr>
        <w:t xml:space="preserve">$0.10/gallon</w:t>
      </w:r>
      <w:r>
        <w:t xml:space="preserve"> </w:t>
      </w:r>
      <w:r>
        <w:t xml:space="preserve">at 10 plants under the then-applicable qualification framework, while suggesting additional potential depends on further guidance.</w:t>
      </w:r>
    </w:p>
    <w:p>
      <w:pPr>
        <w:pStyle w:val="BodyText"/>
      </w:pPr>
      <w:r>
        <w:rPr>
          <w:b/>
          <w:bCs/>
        </w:rPr>
        <w:t xml:space="preserve">Watch:</w:t>
      </w:r>
      <w:r>
        <w:t xml:space="preserve"> </w:t>
      </w:r>
      <w:r>
        <w:t xml:space="preserve">whether ethanol margins held through the quarter and whether management provides a firmer 45Z contribution outlook.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X9a9d2c48ac93ada39e4dbe758c3cfe62ad7f0df"/>
    <w:p>
      <w:pPr>
        <w:pStyle w:val="Heading2"/>
      </w:pPr>
      <w:r>
        <w:t xml:space="preserve">Cash flow and capital allocation: a likely positive</w:t>
      </w:r>
    </w:p>
    <w:p>
      <w:pPr>
        <w:pStyle w:val="FirstParagraph"/>
      </w:pPr>
      <w:r>
        <w:t xml:space="preserve">Valero’s financial position gives it flexibility to convert the margin environment into shareholder returns:</w:t>
      </w:r>
    </w:p>
    <w:p>
      <w:pPr>
        <w:pStyle w:val="Compact"/>
        <w:numPr>
          <w:ilvl w:val="0"/>
          <w:numId w:val="1008"/>
        </w:numPr>
      </w:pPr>
      <w:r>
        <w:t xml:space="preserve">1Q adjusted operating cash flow was</w:t>
      </w:r>
      <w:r>
        <w:t xml:space="preserve"> </w:t>
      </w:r>
      <w:r>
        <w:rPr>
          <w:b/>
          <w:bCs/>
        </w:rPr>
        <w:t xml:space="preserve">$1.6 billion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t xml:space="preserve">Capital investments attributable to Valero were</w:t>
      </w:r>
      <w:r>
        <w:t xml:space="preserve"> </w:t>
      </w:r>
      <w:r>
        <w:rPr>
          <w:b/>
          <w:bCs/>
        </w:rPr>
        <w:t xml:space="preserve">$430 million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t xml:space="preserve">Stockholder cash returns totaled</w:t>
      </w:r>
      <w:r>
        <w:t xml:space="preserve"> </w:t>
      </w:r>
      <w:r>
        <w:rPr>
          <w:b/>
          <w:bCs/>
        </w:rPr>
        <w:t xml:space="preserve">$938 million</w:t>
      </w:r>
      <w:r>
        <w:t xml:space="preserve">, a</w:t>
      </w:r>
      <w:r>
        <w:t xml:space="preserve"> </w:t>
      </w:r>
      <w:r>
        <w:rPr>
          <w:b/>
          <w:bCs/>
        </w:rPr>
        <w:t xml:space="preserve">59% payout ratio</w:t>
      </w:r>
      <w:r>
        <w:t xml:space="preserve"> </w:t>
      </w:r>
      <w:r>
        <w:t xml:space="preserve">of adjusted operating cash flow;</w:t>
      </w:r>
    </w:p>
    <w:p>
      <w:pPr>
        <w:pStyle w:val="Compact"/>
        <w:numPr>
          <w:ilvl w:val="0"/>
          <w:numId w:val="1008"/>
        </w:numPr>
      </w:pPr>
      <w:r>
        <w:t xml:space="preserve">Quarter-end net debt-to-capitalization was</w:t>
      </w:r>
      <w:r>
        <w:t xml:space="preserve"> </w:t>
      </w:r>
      <w:r>
        <w:rPr>
          <w:b/>
          <w:bCs/>
        </w:rPr>
        <w:t xml:space="preserve">18%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t xml:space="preserve">The quarterly dividend was increased 6% in January to</w:t>
      </w:r>
      <w:r>
        <w:t xml:space="preserve"> </w:t>
      </w:r>
      <w:r>
        <w:rPr>
          <w:b/>
          <w:bCs/>
        </w:rPr>
        <w:t xml:space="preserve">$1.20 per share</w:t>
      </w:r>
      <w:r>
        <w:t xml:space="preserve">.</w:t>
      </w:r>
    </w:p>
    <w:p>
      <w:pPr>
        <w:pStyle w:val="FirstParagraph"/>
      </w:pPr>
      <w:r>
        <w:t xml:space="preserve">Most notably, on</w:t>
      </w:r>
      <w:r>
        <w:t xml:space="preserve"> </w:t>
      </w:r>
      <w:r>
        <w:rPr>
          <w:b/>
          <w:bCs/>
        </w:rPr>
        <w:t xml:space="preserve">July 16</w:t>
      </w:r>
      <w:r>
        <w:t xml:space="preserve">, the board authorized a new</w:t>
      </w:r>
      <w:r>
        <w:t xml:space="preserve"> </w:t>
      </w:r>
      <m:oMath>
        <m:r>
          <m:t>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p</m:t>
        </m:r>
        <m:r>
          <m:t>r</m:t>
        </m:r>
        <m:r>
          <m:t>o</m:t>
        </m:r>
        <m:r>
          <m:t>g</m:t>
        </m:r>
        <m:r>
          <m:t>r</m:t>
        </m:r>
        <m:r>
          <m:t>a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i</m:t>
        </m:r>
        <m:r>
          <m:t>n</m:t>
        </m:r>
        <m:r>
          <m:t>a</m:t>
        </m:r>
        <m:r>
          <m:t>d</m:t>
        </m:r>
        <m:r>
          <m:t>d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1.4 billion</w:t>
      </w:r>
      <w:r>
        <w:t xml:space="preserve"> </w:t>
      </w:r>
      <w:r>
        <w:t xml:space="preserve">remaining under the February 2026 authorization as of June 30. This establishes substantial capacity for continued buybacks.</w:t>
      </w:r>
    </w:p>
    <w:p>
      <w:pPr>
        <w:pStyle w:val="BodyText"/>
      </w:pPr>
      <w:r>
        <w:t xml:space="preserve">The earnings call should clarify whether the new authorization signals a more aggressive near-term repurchase rate or simply preserves flexibility. Given VLO’s elevated cash balance and favorable margins, a strong buyback message would be supportive—though investors will also want visibility on Port Arthur repair capex and working-capital needs.</w:t>
      </w:r>
    </w:p>
    <w:p>
      <w:r>
        <w:pict>
          <v:rect style="width:0;height:1.5pt" o:hralign="center" o:hrstd="t" o:hr="t"/>
        </w:pict>
      </w:r>
    </w:p>
    <w:bookmarkEnd w:id="17"/>
    <w:bookmarkStart w:id="18" w:name="key-items-to-monitor-on-the-call"/>
    <w:p>
      <w:pPr>
        <w:pStyle w:val="Heading2"/>
      </w:pPr>
      <w:r>
        <w:t xml:space="preserve">Key items to monitor on the call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Refining capture:</w:t>
      </w:r>
      <w:r>
        <w:t xml:space="preserve"> </w:t>
      </w:r>
      <w:r>
        <w:t xml:space="preserve">Did operating income per barrel track the improved product-margin environment?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Port Arthur:</w:t>
      </w:r>
      <w:r>
        <w:t xml:space="preserve"> </w:t>
      </w:r>
      <w:r>
        <w:t xml:space="preserve">What is the repair timeline, capital requirement, insurance recovery, and yield/capture impact?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3Q throughput and operating-cost guidance:</w:t>
      </w:r>
      <w:r>
        <w:t xml:space="preserve"> </w:t>
      </w:r>
      <w:r>
        <w:t xml:space="preserve">Can VLO return toward normalized system utilization?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Crude slate and differentials:</w:t>
      </w:r>
      <w:r>
        <w:t xml:space="preserve"> </w:t>
      </w:r>
      <w:r>
        <w:t xml:space="preserve">Is VLO still benefiting from heavy-sour and North American crude advantages?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Jet and distillate exposure:</w:t>
      </w:r>
      <w:r>
        <w:t xml:space="preserve"> </w:t>
      </w:r>
      <w:r>
        <w:t xml:space="preserve">How much did VLO improve jet yields, and are premiums holding?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Renewable diesel:</w:t>
      </w:r>
      <w:r>
        <w:t xml:space="preserve"> </w:t>
      </w:r>
      <w:r>
        <w:t xml:space="preserve">Are RIN economics and feedstock hedges producing the expected 2Q improvement?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Cash deployment:</w:t>
      </w:r>
      <w:r>
        <w:t xml:space="preserve"> </w:t>
      </w:r>
      <w:r>
        <w:t xml:space="preserve">What does the July repurchase authorization mean for near-term buyback execution?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St. Charles FCC optimization:</w:t>
      </w:r>
      <w:r>
        <w:t xml:space="preserve"> </w:t>
      </w:r>
      <w:r>
        <w:t xml:space="preserve">Is the $230 million project still on track to start in 3Q26, and what incremental earnings capacity should investors expect?</w:t>
      </w:r>
    </w:p>
    <w:p>
      <w:r>
        <w:pict>
          <v:rect style="width:0;height:1.5pt" o:hralign="center" o:hrstd="t" o:hr="t"/>
        </w:pict>
      </w:r>
    </w:p>
    <w:bookmarkEnd w:id="18"/>
    <w:bookmarkStart w:id="1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VLO appears positioned to report a strong 2Q26, supported by favorable refining economics, advantageous crude access, a resilient product-demand/export environment, and improved renewable diesel and ethanol profitability. The likely constraints are lower throughput and lost distillate-yield capability at Port Arthur, along with the possibility that crude backwardation and physical-market volatility limit realized capture versus headline market cracks.</w:t>
      </w:r>
    </w:p>
    <w:p>
      <w:pPr>
        <w:pStyle w:val="BodyText"/>
      </w:pPr>
      <w:r>
        <w:t xml:space="preserve">For the stock, the most important outcome is likely to be a report that validates three points:</w:t>
      </w:r>
      <w:r>
        <w:t xml:space="preserve"> </w:t>
      </w:r>
      <w:r>
        <w:rPr>
          <w:b/>
          <w:bCs/>
        </w:rPr>
        <w:t xml:space="preserve">strong 2Q capture despite operational headwinds, a manageable Port Arthur recovery path, and sustained 2H cash returns backed by the enlarged repurchase authorization.</w:t>
      </w:r>
      <w:r>
        <w:t xml:space="preserve"> </w:t>
      </w:r>
      <w:r>
        <w:t xml:space="preserve">With the shares having rallied materially into the print, a merely solid quarter with limited forward detail may be insufficient.</w:t>
      </w:r>
    </w:p>
    <w:p>
      <w:pPr>
        <w:pStyle w:val="BodyText"/>
      </w:pPr>
      <w:r>
        <w:rPr>
          <w:i/>
          <w:iCs/>
        </w:rPr>
        <w:t xml:space="preserve">Research basis: Valero’s 1Q26 earnings release and conference-call transcript; July 16, 2026 repurchase-program 8-K; recent market/news and historical price data.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2026-07-29T18:44:25Z</dcterms:created>
  <dcterms:modified xsi:type="dcterms:W3CDTF">2026-07-29T18:44:25Z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