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Valero Energy Corporation (VLO)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Valero Energy Corporation</w:t>
            </w:r>
          </w:p>
        </w:tc>
      </w:tr>
      <w:tr>
        <w:tc>
          <w:tcPr>
            <w:tcW w:type="dxa" w:w="4320"/>
          </w:tcPr>
          <w:p>
            <w:r>
              <w:rPr>
                <w:rFonts w:ascii="Calibri" w:hAnsi="Calibri"/>
                <w:b/>
                <w:sz w:val="22"/>
              </w:rPr>
              <w:t>Ticker</w:t>
            </w:r>
          </w:p>
        </w:tc>
        <w:tc>
          <w:tcPr>
            <w:tcW w:type="dxa" w:w="4320"/>
          </w:tcPr>
          <w:p>
            <w:r>
              <w:rPr>
                <w:rFonts w:ascii="Calibri" w:hAnsi="Calibri"/>
                <w:sz w:val="22"/>
              </w:rPr>
              <w:t>VLO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strongly skewed to beat — consensus is a low bar relative to the Iran-conflict-driven crack spread environment that persisted through Q2, and the single biggest swing factor is the magnitude of Gulf Coast realized margin capture given the Port Arthur diesel hydrotreater outage and steep backwardation.</w:t>
      </w:r>
    </w:p>
    <w:p>
      <w:r>
        <w:rPr>
          <w:rFonts w:ascii="Calibri" w:hAnsi="Calibri"/>
          <w:color w:val="525866"/>
          <w:sz w:val="22"/>
        </w:rPr>
        <w:t xml:space="preserve">Heading into the Q2 2026 print, the bar looks beatable: consensus EPS of ~$10.08 (Visible Alpha) implies a 344% year-over-year surge, yet the macro backdrop through the quarter was arguably more constructive than that number reflects. </w:t>
      </w:r>
    </w:p>
    <w:p>
      <w:r>
        <w:rPr>
          <w:rFonts w:ascii="Calibri" w:hAnsi="Calibri"/>
          <w:color w:val="525866"/>
          <w:sz w:val="22"/>
        </w:rPr>
        <w:t xml:space="preserve">The Iran conflict kept global refined product inventories at multi-year lows, distillate crack spreads elevated, and jet fuel structurally short — all conditions that directly benefit Valero’s high-complexity Gulf Coast system. Management’s tone on the Q1 call was unambiguously bullish: they guided Q2 Gulf Coast indicators “already tracking well above Q1 levels” and described jet fuel as “incredibly short,” with the company actively converting refineries to jet production mode. </w:t>
      </w:r>
    </w:p>
    <w:p>
      <w:r>
        <w:rPr>
          <w:rFonts w:ascii="Calibri" w:hAnsi="Calibri"/>
          <w:color w:val="525866"/>
          <w:sz w:val="22"/>
        </w:rPr>
        <w:t xml:space="preserve">Estimate revisions have moved sharply higher since the Q1 print (Q2 EPS consensus up from ~$9.49 to ~$10.08 post-earnings), tracking management’s constructive tone, though the gap between the futures-implied crack environment and consensus realized margin assumptions likely still represents cushion rather than risk. </w:t>
      </w:r>
    </w:p>
    <w:p>
      <w:r>
        <w:rPr>
          <w:rFonts w:ascii="Calibri" w:hAnsi="Calibri"/>
          <w:color w:val="525866"/>
          <w:sz w:val="22"/>
        </w:rPr>
        <w:t>The stock has already priced in a strong quarter — VLO is up ~19% since the Q1 earnings date vs. XLE down ~2% and SPY up ~2% — so the multiple has expanded meaningfully, and the stock is trading near all-time highs. The key wildcard is the Port Arthur diesel hydrotreater: with no rebuild timeline disclosed, any update on repair costs, insurance recovery, or a surprise restart would be the single biggest catalyst either way, as it directly impacts capture rates and the Q3 throughput outlook.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both EPS and refining margin — the Iran-conflict macro drove crack spreads well above what the street modeled at the start of the quarter. Refining EBIT/bbl is the bigger swing factor; a $1/bbl beat on realized margin translates to ~$260M of incremental quarterly pre-tax earnings at current throughput.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(from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($/share)</w:t>
            </w:r>
          </w:p>
        </w:tc>
        <w:tc>
          <w:tcPr>
            <w:tcW w:type="dxa" w:w="1234"/>
          </w:tcPr>
          <w:p>
            <w:r>
              <w:rPr>
                <w:rFonts w:ascii="Calibri" w:hAnsi="Calibri"/>
                <w:sz w:val="22"/>
              </w:rPr>
              <w:t>$4.22</w:t>
            </w:r>
          </w:p>
        </w:tc>
        <w:tc>
          <w:tcPr>
            <w:tcW w:type="dxa" w:w="1234"/>
          </w:tcPr>
          <w:p>
            <w:r>
              <w:rPr>
                <w:rFonts w:ascii="Calibri" w:hAnsi="Calibri"/>
                <w:sz w:val="22"/>
              </w:rPr>
              <w:t>$2.28</w:t>
            </w:r>
          </w:p>
        </w:tc>
        <w:tc>
          <w:tcPr>
            <w:tcW w:type="dxa" w:w="1234"/>
          </w:tcPr>
          <w:p>
            <w:r>
              <w:rPr>
                <w:rFonts w:ascii="Calibri" w:hAnsi="Calibri"/>
                <w:sz w:val="22"/>
              </w:rPr>
              <w:t>$10.08</w:t>
            </w:r>
          </w:p>
        </w:tc>
        <w:tc>
          <w:tcPr>
            <w:tcW w:type="dxa" w:w="1234"/>
          </w:tcPr>
          <w:p>
            <w:r>
              <w:rPr>
                <w:rFonts w:ascii="Calibri" w:hAnsi="Calibri"/>
                <w:b/>
                <w:color w:val="30A46C"/>
                <w:sz w:val="22"/>
              </w:rPr>
              <w:t>+342%</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Revenues ($B)</w:t>
            </w:r>
          </w:p>
        </w:tc>
        <w:tc>
          <w:tcPr>
            <w:tcW w:type="dxa" w:w="1234"/>
          </w:tcPr>
          <w:p>
            <w:r>
              <w:rPr>
                <w:rFonts w:ascii="Calibri" w:hAnsi="Calibri"/>
                <w:sz w:val="22"/>
              </w:rPr>
              <w:t>$32.4B</w:t>
            </w:r>
          </w:p>
        </w:tc>
        <w:tc>
          <w:tcPr>
            <w:tcW w:type="dxa" w:w="1234"/>
          </w:tcPr>
          <w:p>
            <w:r>
              <w:rPr>
                <w:rFonts w:ascii="Calibri" w:hAnsi="Calibri"/>
                <w:sz w:val="22"/>
              </w:rPr>
              <w:t>$29.9B</w:t>
            </w:r>
          </w:p>
        </w:tc>
        <w:tc>
          <w:tcPr>
            <w:tcW w:type="dxa" w:w="1234"/>
          </w:tcPr>
          <w:p>
            <w:r>
              <w:rPr>
                <w:rFonts w:ascii="Calibri" w:hAnsi="Calibri"/>
                <w:sz w:val="22"/>
              </w:rPr>
              <w:t>$39.1B</w:t>
            </w:r>
          </w:p>
        </w:tc>
        <w:tc>
          <w:tcPr>
            <w:tcW w:type="dxa" w:w="1234"/>
          </w:tcPr>
          <w:p>
            <w:r>
              <w:rPr>
                <w:rFonts w:ascii="Calibri" w:hAnsi="Calibri"/>
                <w:b/>
                <w:color w:val="30A46C"/>
                <w:sz w:val="22"/>
              </w:rPr>
              <w:t>+31%</w:t>
            </w:r>
          </w:p>
        </w:tc>
        <w:tc>
          <w:tcPr>
            <w:tcW w:type="dxa" w:w="1234"/>
          </w:tcPr>
          <w:p>
            <w:r>
              <w:rPr>
                <w:rFonts w:ascii="Calibri" w:hAnsi="Calibri"/>
                <w:sz w:val="22"/>
              </w:rPr>
              <w:t>No specific revenue guidance</w:t>
            </w:r>
          </w:p>
        </w:tc>
        <w:tc>
          <w:tcPr>
            <w:tcW w:type="dxa" w:w="1234"/>
          </w:tcPr>
          <w:p>
            <w:r>
              <w:rPr>
                <w:rFonts w:ascii="Calibri" w:hAnsi="Calibri"/>
                <w:sz w:val="22"/>
              </w:rPr>
              <w:t>N/A</w:t>
            </w:r>
          </w:p>
        </w:tc>
      </w:tr>
      <w:tr>
        <w:tc>
          <w:tcPr>
            <w:tcW w:type="dxa" w:w="1234"/>
          </w:tcPr>
          <w:p>
            <w:r>
              <w:rPr>
                <w:rFonts w:ascii="Calibri" w:hAnsi="Calibri"/>
                <w:sz w:val="22"/>
              </w:rPr>
              <w:t>Refining Throughput — Total (Mbpd)</w:t>
            </w:r>
          </w:p>
        </w:tc>
        <w:tc>
          <w:tcPr>
            <w:tcW w:type="dxa" w:w="1234"/>
          </w:tcPr>
          <w:p>
            <w:r>
              <w:rPr>
                <w:rFonts w:ascii="Calibri" w:hAnsi="Calibri"/>
                <w:sz w:val="22"/>
              </w:rPr>
              <w:t>2,914 Mbpd</w:t>
            </w:r>
          </w:p>
        </w:tc>
        <w:tc>
          <w:tcPr>
            <w:tcW w:type="dxa" w:w="1234"/>
          </w:tcPr>
          <w:p>
            <w:r>
              <w:rPr>
                <w:rFonts w:ascii="Calibri" w:hAnsi="Calibri"/>
                <w:sz w:val="22"/>
              </w:rPr>
              <w:t>2,922 Mbpd</w:t>
            </w:r>
          </w:p>
        </w:tc>
        <w:tc>
          <w:tcPr>
            <w:tcW w:type="dxa" w:w="1234"/>
          </w:tcPr>
          <w:p>
            <w:r>
              <w:rPr>
                <w:rFonts w:ascii="Calibri" w:hAnsi="Calibri"/>
                <w:sz w:val="22"/>
              </w:rPr>
              <w:t>2,811 Mbpd</w:t>
            </w:r>
          </w:p>
        </w:tc>
        <w:tc>
          <w:tcPr>
            <w:tcW w:type="dxa" w:w="1234"/>
          </w:tcPr>
          <w:p>
            <w:r>
              <w:rPr>
                <w:rFonts w:ascii="Calibri" w:hAnsi="Calibri"/>
                <w:b/>
                <w:color w:val="E5484D"/>
                <w:sz w:val="22"/>
              </w:rPr>
              <w:t>-4%</w:t>
            </w:r>
          </w:p>
        </w:tc>
        <w:tc>
          <w:tcPr>
            <w:tcW w:type="dxa" w:w="1234"/>
          </w:tcPr>
          <w:p>
            <w:r>
              <w:rPr>
                <w:rFonts w:ascii="Calibri" w:hAnsi="Calibri"/>
                <w:sz w:val="22"/>
              </w:rPr>
              <w:t>GC: 1,690–1,740; MC: 450–470; WC: 120–130; NA: 480–500 (Mbpd)</w:t>
            </w:r>
          </w:p>
        </w:tc>
        <w:tc>
          <w:tcPr>
            <w:tcW w:type="dxa" w:w="1234"/>
          </w:tcPr>
          <w:p>
            <w:r>
              <w:rPr>
                <w:rFonts w:ascii="Calibri" w:hAnsi="Calibri"/>
                <w:sz w:val="22"/>
              </w:rPr>
              <w:t>Consensus ~2,811 Mbpd; midpoint of guidance ranges ~2,815 Mbpd; approx. in-line</w:t>
            </w:r>
          </w:p>
        </w:tc>
      </w:tr>
      <w:tr>
        <w:tc>
          <w:tcPr>
            <w:tcW w:type="dxa" w:w="1234"/>
          </w:tcPr>
          <w:p>
            <w:r>
              <w:rPr>
                <w:rFonts w:ascii="Calibri" w:hAnsi="Calibri"/>
                <w:sz w:val="22"/>
              </w:rPr>
              <w:t>Refining Capacity Utilization (%)</w:t>
            </w:r>
          </w:p>
        </w:tc>
        <w:tc>
          <w:tcPr>
            <w:tcW w:type="dxa" w:w="1234"/>
          </w:tcPr>
          <w:p>
            <w:r>
              <w:rPr>
                <w:rFonts w:ascii="Calibri" w:hAnsi="Calibri"/>
                <w:sz w:val="22"/>
              </w:rPr>
              <w:t>92.5%</w:t>
            </w:r>
          </w:p>
        </w:tc>
        <w:tc>
          <w:tcPr>
            <w:tcW w:type="dxa" w:w="1234"/>
          </w:tcPr>
          <w:p>
            <w:r>
              <w:rPr>
                <w:rFonts w:ascii="Calibri" w:hAnsi="Calibri"/>
                <w:sz w:val="22"/>
              </w:rPr>
              <w:t>91.6%</w:t>
            </w:r>
          </w:p>
        </w:tc>
        <w:tc>
          <w:tcPr>
            <w:tcW w:type="dxa" w:w="1234"/>
          </w:tcPr>
          <w:p>
            <w:r>
              <w:rPr>
                <w:rFonts w:ascii="Calibri" w:hAnsi="Calibri"/>
                <w:sz w:val="22"/>
              </w:rPr>
              <w:t>92.9%</w:t>
            </w:r>
          </w:p>
        </w:tc>
        <w:tc>
          <w:tcPr>
            <w:tcW w:type="dxa" w:w="1234"/>
          </w:tcPr>
          <w:p>
            <w:r>
              <w:rPr>
                <w:rFonts w:ascii="Calibri" w:hAnsi="Calibri"/>
                <w:sz w:val="22"/>
              </w:rPr>
              <w:t>+130 bps</w:t>
            </w:r>
          </w:p>
        </w:tc>
        <w:tc>
          <w:tcPr>
            <w:tcW w:type="dxa" w:w="1234"/>
          </w:tcPr>
          <w:p>
            <w:r>
              <w:rPr>
                <w:rFonts w:ascii="Calibri" w:hAnsi="Calibri"/>
                <w:sz w:val="22"/>
              </w:rPr>
              <w:t>Implied ~88–90% (Port Arthur reduced rates + Benicia idled)</w:t>
            </w:r>
          </w:p>
        </w:tc>
        <w:tc>
          <w:tcPr>
            <w:tcW w:type="dxa" w:w="1234"/>
          </w:tcPr>
          <w:p>
            <w:r>
              <w:rPr>
                <w:rFonts w:ascii="Calibri" w:hAnsi="Calibri"/>
                <w:sz w:val="22"/>
              </w:rPr>
              <w:t>Consensus above guidance midpoint; reflects faster Port Arthur restart</w:t>
            </w:r>
          </w:p>
        </w:tc>
      </w:tr>
      <w:tr>
        <w:tc>
          <w:tcPr>
            <w:tcW w:type="dxa" w:w="1234"/>
          </w:tcPr>
          <w:p>
            <w:r>
              <w:rPr>
                <w:rFonts w:ascii="Calibri" w:hAnsi="Calibri"/>
                <w:sz w:val="22"/>
              </w:rPr>
              <w:t>Refining Cash OpEx/bbl ($)</w:t>
            </w:r>
          </w:p>
        </w:tc>
        <w:tc>
          <w:tcPr>
            <w:tcW w:type="dxa" w:w="1234"/>
          </w:tcPr>
          <w:p>
            <w:r>
              <w:rPr>
                <w:rFonts w:ascii="Calibri" w:hAnsi="Calibri"/>
                <w:sz w:val="22"/>
              </w:rPr>
              <w:t>$5.13/bbl</w:t>
            </w:r>
          </w:p>
        </w:tc>
        <w:tc>
          <w:tcPr>
            <w:tcW w:type="dxa" w:w="1234"/>
          </w:tcPr>
          <w:p>
            <w:r>
              <w:rPr>
                <w:rFonts w:ascii="Calibri" w:hAnsi="Calibri"/>
                <w:sz w:val="22"/>
              </w:rPr>
              <w:t>$4.92/bbl</w:t>
            </w:r>
          </w:p>
        </w:tc>
        <w:tc>
          <w:tcPr>
            <w:tcW w:type="dxa" w:w="1234"/>
          </w:tcPr>
          <w:p>
            <w:r>
              <w:rPr>
                <w:rFonts w:ascii="Calibri" w:hAnsi="Calibri"/>
                <w:sz w:val="22"/>
              </w:rPr>
              <w:t>$4.86/bbl</w:t>
            </w:r>
          </w:p>
        </w:tc>
        <w:tc>
          <w:tcPr>
            <w:tcW w:type="dxa" w:w="1234"/>
          </w:tcPr>
          <w:p>
            <w:r>
              <w:rPr>
                <w:rFonts w:ascii="Calibri" w:hAnsi="Calibri"/>
                <w:sz w:val="22"/>
              </w:rPr>
              <w:t>-1%</w:t>
            </w:r>
          </w:p>
        </w:tc>
        <w:tc>
          <w:tcPr>
            <w:tcW w:type="dxa" w:w="1234"/>
          </w:tcPr>
          <w:p>
            <w:r>
              <w:rPr>
                <w:rFonts w:ascii="Calibri" w:hAnsi="Calibri"/>
                <w:sz w:val="22"/>
              </w:rPr>
              <w:t>~$4.85/bbl</w:t>
            </w:r>
          </w:p>
        </w:tc>
        <w:tc>
          <w:tcPr>
            <w:tcW w:type="dxa" w:w="1234"/>
          </w:tcPr>
          <w:p>
            <w:r>
              <w:rPr>
                <w:rFonts w:ascii="Calibri" w:hAnsi="Calibri"/>
                <w:sz w:val="22"/>
              </w:rPr>
              <w:t>+0.2% above guidance midpoint; essentially in-line</w:t>
            </w:r>
          </w:p>
        </w:tc>
      </w:tr>
      <w:tr>
        <w:tc>
          <w:tcPr>
            <w:tcW w:type="dxa" w:w="1234"/>
          </w:tcPr>
          <w:p>
            <w:r>
              <w:rPr>
                <w:rFonts w:ascii="Calibri" w:hAnsi="Calibri"/>
                <w:sz w:val="22"/>
              </w:rPr>
              <w:t>Refining EBIT ($B)</w:t>
            </w:r>
          </w:p>
        </w:tc>
        <w:tc>
          <w:tcPr>
            <w:tcW w:type="dxa" w:w="1234"/>
          </w:tcPr>
          <w:p>
            <w:r>
              <w:rPr>
                <w:rFonts w:ascii="Calibri" w:hAnsi="Calibri"/>
                <w:sz w:val="22"/>
              </w:rPr>
              <w:t>$1.81B</w:t>
            </w:r>
          </w:p>
        </w:tc>
        <w:tc>
          <w:tcPr>
            <w:tcW w:type="dxa" w:w="1234"/>
          </w:tcPr>
          <w:p>
            <w:r>
              <w:rPr>
                <w:rFonts w:ascii="Calibri" w:hAnsi="Calibri"/>
                <w:sz w:val="22"/>
              </w:rPr>
              <w:t>$1.27B</w:t>
            </w:r>
          </w:p>
        </w:tc>
        <w:tc>
          <w:tcPr>
            <w:tcW w:type="dxa" w:w="1234"/>
          </w:tcPr>
          <w:p>
            <w:r>
              <w:rPr>
                <w:rFonts w:ascii="Calibri" w:hAnsi="Calibri"/>
                <w:sz w:val="22"/>
              </w:rPr>
              <w:t>$3.77B</w:t>
            </w:r>
          </w:p>
        </w:tc>
        <w:tc>
          <w:tcPr>
            <w:tcW w:type="dxa" w:w="1234"/>
          </w:tcPr>
          <w:p>
            <w:r>
              <w:rPr>
                <w:rFonts w:ascii="Calibri" w:hAnsi="Calibri"/>
                <w:b/>
                <w:color w:val="30A46C"/>
                <w:sz w:val="22"/>
              </w:rPr>
              <w:t>+197%</w:t>
            </w:r>
          </w:p>
        </w:tc>
        <w:tc>
          <w:tcPr>
            <w:tcW w:type="dxa" w:w="1234"/>
          </w:tcPr>
          <w:p>
            <w:r>
              <w:rPr>
                <w:rFonts w:ascii="Calibri" w:hAnsi="Calibri"/>
                <w:sz w:val="22"/>
              </w:rPr>
              <w:t>No specific EBIT guidance</w:t>
            </w:r>
          </w:p>
        </w:tc>
        <w:tc>
          <w:tcPr>
            <w:tcW w:type="dxa" w:w="1234"/>
          </w:tcPr>
          <w:p>
            <w:r>
              <w:rPr>
                <w:rFonts w:ascii="Calibri" w:hAnsi="Calibri"/>
                <w:sz w:val="22"/>
              </w:rPr>
              <w:t>N/A</w:t>
            </w:r>
          </w:p>
        </w:tc>
      </w:tr>
      <w:tr>
        <w:tc>
          <w:tcPr>
            <w:tcW w:type="dxa" w:w="1234"/>
          </w:tcPr>
          <w:p>
            <w:r>
              <w:rPr>
                <w:rFonts w:ascii="Calibri" w:hAnsi="Calibri"/>
                <w:sz w:val="22"/>
              </w:rPr>
              <w:t>Refining EBIT/bbl ($)</w:t>
            </w:r>
          </w:p>
        </w:tc>
        <w:tc>
          <w:tcPr>
            <w:tcW w:type="dxa" w:w="1234"/>
          </w:tcPr>
          <w:p>
            <w:r>
              <w:rPr>
                <w:rFonts w:ascii="Calibri" w:hAnsi="Calibri"/>
                <w:sz w:val="22"/>
              </w:rPr>
              <w:t>$6.98/bbl</w:t>
            </w:r>
          </w:p>
        </w:tc>
        <w:tc>
          <w:tcPr>
            <w:tcW w:type="dxa" w:w="1234"/>
          </w:tcPr>
          <w:p>
            <w:r>
              <w:rPr>
                <w:rFonts w:ascii="Calibri" w:hAnsi="Calibri"/>
                <w:sz w:val="22"/>
              </w:rPr>
              <w:t>$4.78/bbl</w:t>
            </w:r>
          </w:p>
        </w:tc>
        <w:tc>
          <w:tcPr>
            <w:tcW w:type="dxa" w:w="1234"/>
          </w:tcPr>
          <w:p>
            <w:r>
              <w:rPr>
                <w:rFonts w:ascii="Calibri" w:hAnsi="Calibri"/>
                <w:sz w:val="22"/>
              </w:rPr>
              <w:t>$14.73/bbl</w:t>
            </w:r>
          </w:p>
        </w:tc>
        <w:tc>
          <w:tcPr>
            <w:tcW w:type="dxa" w:w="1234"/>
          </w:tcPr>
          <w:p>
            <w:r>
              <w:rPr>
                <w:rFonts w:ascii="Calibri" w:hAnsi="Calibri"/>
                <w:b/>
                <w:color w:val="30A46C"/>
                <w:sz w:val="22"/>
              </w:rPr>
              <w:t>+208%</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Gulf Coast Realized Gross Profit/bbl ($)</w:t>
            </w:r>
          </w:p>
        </w:tc>
        <w:tc>
          <w:tcPr>
            <w:tcW w:type="dxa" w:w="1234"/>
          </w:tcPr>
          <w:p>
            <w:r>
              <w:rPr>
                <w:rFonts w:ascii="Calibri" w:hAnsi="Calibri"/>
                <w:sz w:val="22"/>
              </w:rPr>
              <w:t>$16.06/bbl</w:t>
            </w:r>
          </w:p>
        </w:tc>
        <w:tc>
          <w:tcPr>
            <w:tcW w:type="dxa" w:w="1234"/>
          </w:tcPr>
          <w:p>
            <w:r>
              <w:rPr>
                <w:rFonts w:ascii="Calibri" w:hAnsi="Calibri"/>
                <w:sz w:val="22"/>
              </w:rPr>
              <w:t>$11.78/bbl</w:t>
            </w:r>
          </w:p>
        </w:tc>
        <w:tc>
          <w:tcPr>
            <w:tcW w:type="dxa" w:w="1234"/>
          </w:tcPr>
          <w:p>
            <w:r>
              <w:rPr>
                <w:rFonts w:ascii="Calibri" w:hAnsi="Calibri"/>
                <w:sz w:val="22"/>
              </w:rPr>
              <w:t>$22.25/bbl</w:t>
            </w:r>
          </w:p>
        </w:tc>
        <w:tc>
          <w:tcPr>
            <w:tcW w:type="dxa" w:w="1234"/>
          </w:tcPr>
          <w:p>
            <w:r>
              <w:rPr>
                <w:rFonts w:ascii="Calibri" w:hAnsi="Calibri"/>
                <w:b/>
                <w:color w:val="30A46C"/>
                <w:sz w:val="22"/>
              </w:rPr>
              <w:t>+89%</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Renewable Diesel EBIT ($M)</w:t>
            </w:r>
          </w:p>
        </w:tc>
        <w:tc>
          <w:tcPr>
            <w:tcW w:type="dxa" w:w="1234"/>
          </w:tcPr>
          <w:p>
            <w:r>
              <w:rPr>
                <w:rFonts w:ascii="Calibri" w:hAnsi="Calibri"/>
                <w:sz w:val="22"/>
              </w:rPr>
              <w:t>$139M</w:t>
            </w:r>
          </w:p>
        </w:tc>
        <w:tc>
          <w:tcPr>
            <w:tcW w:type="dxa" w:w="1234"/>
          </w:tcPr>
          <w:p>
            <w:r>
              <w:rPr>
                <w:rFonts w:ascii="Calibri" w:hAnsi="Calibri"/>
                <w:sz w:val="22"/>
              </w:rPr>
              <w:t>-$80M</w:t>
            </w:r>
          </w:p>
        </w:tc>
        <w:tc>
          <w:tcPr>
            <w:tcW w:type="dxa" w:w="1234"/>
          </w:tcPr>
          <w:p>
            <w:r>
              <w:rPr>
                <w:rFonts w:ascii="Calibri" w:hAnsi="Calibri"/>
                <w:sz w:val="22"/>
              </w:rPr>
              <w:t>$333M</w:t>
            </w:r>
          </w:p>
        </w:tc>
        <w:tc>
          <w:tcPr>
            <w:tcW w:type="dxa" w:w="1234"/>
          </w:tcPr>
          <w:p>
            <w:r>
              <w:rPr>
                <w:rFonts w:ascii="Calibri" w:hAnsi="Calibri"/>
                <w:b/>
                <w:color w:val="30A46C"/>
                <w:sz w:val="22"/>
              </w:rPr>
              <w:t>N/M (loss to profit)</w:t>
            </w:r>
          </w:p>
        </w:tc>
        <w:tc>
          <w:tcPr>
            <w:tcW w:type="dxa" w:w="1234"/>
          </w:tcPr>
          <w:p>
            <w:r>
              <w:rPr>
                <w:rFonts w:ascii="Calibri" w:hAnsi="Calibri"/>
                <w:sz w:val="22"/>
              </w:rPr>
              <w:t>Sales vol. ~320M gal; OpEx $0.46/gal; higher margins vs. Q1 expected</w:t>
            </w:r>
          </w:p>
        </w:tc>
        <w:tc>
          <w:tcPr>
            <w:tcW w:type="dxa" w:w="1234"/>
          </w:tcPr>
          <w:p>
            <w:r>
              <w:rPr>
                <w:rFonts w:ascii="Calibri" w:hAnsi="Calibri"/>
                <w:sz w:val="22"/>
              </w:rPr>
              <w:t>Consensus above Q1 actuals; RVO tailwind supports</w:t>
            </w:r>
          </w:p>
        </w:tc>
      </w:tr>
      <w:tr>
        <w:tc>
          <w:tcPr>
            <w:tcW w:type="dxa" w:w="1234"/>
          </w:tcPr>
          <w:p>
            <w:r>
              <w:rPr>
                <w:rFonts w:ascii="Calibri" w:hAnsi="Calibri"/>
                <w:sz w:val="22"/>
              </w:rPr>
              <w:t>Ethanol EBIT ($M)</w:t>
            </w:r>
          </w:p>
        </w:tc>
        <w:tc>
          <w:tcPr>
            <w:tcW w:type="dxa" w:w="1234"/>
          </w:tcPr>
          <w:p>
            <w:r>
              <w:rPr>
                <w:rFonts w:ascii="Calibri" w:hAnsi="Calibri"/>
                <w:sz w:val="22"/>
              </w:rPr>
              <w:t>$90M</w:t>
            </w:r>
          </w:p>
        </w:tc>
        <w:tc>
          <w:tcPr>
            <w:tcW w:type="dxa" w:w="1234"/>
          </w:tcPr>
          <w:p>
            <w:r>
              <w:rPr>
                <w:rFonts w:ascii="Calibri" w:hAnsi="Calibri"/>
                <w:sz w:val="22"/>
              </w:rPr>
              <w:t>$54M</w:t>
            </w:r>
          </w:p>
        </w:tc>
        <w:tc>
          <w:tcPr>
            <w:tcW w:type="dxa" w:w="1234"/>
          </w:tcPr>
          <w:p>
            <w:r>
              <w:rPr>
                <w:rFonts w:ascii="Calibri" w:hAnsi="Calibri"/>
                <w:sz w:val="22"/>
              </w:rPr>
              <w:t>$191M</w:t>
            </w:r>
          </w:p>
        </w:tc>
        <w:tc>
          <w:tcPr>
            <w:tcW w:type="dxa" w:w="1234"/>
          </w:tcPr>
          <w:p>
            <w:r>
              <w:rPr>
                <w:rFonts w:ascii="Calibri" w:hAnsi="Calibri"/>
                <w:b/>
                <w:color w:val="30A46C"/>
                <w:sz w:val="22"/>
              </w:rPr>
              <w:t>+254%</w:t>
            </w:r>
          </w:p>
        </w:tc>
        <w:tc>
          <w:tcPr>
            <w:tcW w:type="dxa" w:w="1234"/>
          </w:tcPr>
          <w:p>
            <w:r>
              <w:rPr>
                <w:rFonts w:ascii="Calibri" w:hAnsi="Calibri"/>
                <w:sz w:val="22"/>
              </w:rPr>
              <w:t>Production ~4.7M gal/day; OpEx $0.39/gal</w:t>
            </w:r>
          </w:p>
        </w:tc>
        <w:tc>
          <w:tcPr>
            <w:tcW w:type="dxa" w:w="1234"/>
          </w:tcPr>
          <w:p>
            <w:r>
              <w:rPr>
                <w:rFonts w:ascii="Calibri" w:hAnsi="Calibri"/>
                <w:sz w:val="22"/>
              </w:rPr>
              <w:t>Consensus well above guidance; 45Z credit upside likely embedded</w:t>
            </w:r>
          </w:p>
        </w:tc>
      </w:tr>
    </w:tbl>
    <w:p>
      <w:r>
        <w:rPr>
          <w:rFonts w:ascii="Calibri" w:hAnsi="Calibri"/>
          <w:color w:val="525866"/>
          <w:sz w:val="22"/>
        </w:rPr>
        <w:t>Source: Visible Alpha Consensus and Actuals Data. All consensus figures as of July 29, 2026. Q2 2026 guidance from VLO Q1 2026 Earnings Call (April 30, 2026).</w:t>
      </w:r>
    </w:p>
    <w:p>
      <w:pPr>
        <w:pStyle w:val="Heading3"/>
      </w:pPr>
      <w:r>
        <w:rPr>
          <w:rFonts w:ascii="Calibri" w:hAnsi="Calibri"/>
          <w:b/>
          <w:color w:val="3B4259"/>
          <w:sz w:val="24"/>
        </w:rPr>
        <w:t>Table 2 — Beat/Miss History: Last 8 Quarters (Top 2 KPIs: EPS — Diluted Operating &amp; Refining EBIT/bbl)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 — Diluted Operating</w:t>
            </w:r>
          </w:p>
        </w:tc>
        <w:tc>
          <w:tcPr>
            <w:tcW w:type="dxa" w:w="1440"/>
          </w:tcPr>
          <w:p>
            <w:r>
              <w:rPr>
                <w:rFonts w:ascii="Calibri" w:hAnsi="Calibri"/>
                <w:sz w:val="22"/>
              </w:rPr>
              <w:t>$4.22</w:t>
            </w:r>
          </w:p>
        </w:tc>
        <w:tc>
          <w:tcPr>
            <w:tcW w:type="dxa" w:w="1440"/>
          </w:tcPr>
          <w:p>
            <w:r>
              <w:rPr>
                <w:rFonts w:ascii="Calibri" w:hAnsi="Calibri"/>
                <w:sz w:val="22"/>
              </w:rPr>
              <w:t>$3.17</w:t>
            </w:r>
          </w:p>
        </w:tc>
        <w:tc>
          <w:tcPr>
            <w:tcW w:type="dxa" w:w="1440"/>
          </w:tcPr>
          <w:p>
            <w:r>
              <w:rPr>
                <w:rFonts w:ascii="Calibri" w:hAnsi="Calibri"/>
                <w:b/>
                <w:color w:val="30A46C"/>
                <w:sz w:val="22"/>
              </w:rPr>
              <w:t>+33.1%</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Refining EBIT/bbl</w:t>
            </w:r>
          </w:p>
        </w:tc>
        <w:tc>
          <w:tcPr>
            <w:tcW w:type="dxa" w:w="1440"/>
          </w:tcPr>
          <w:p>
            <w:r>
              <w:rPr>
                <w:rFonts w:ascii="Calibri" w:hAnsi="Calibri"/>
                <w:sz w:val="22"/>
              </w:rPr>
              <w:t>$6.98</w:t>
            </w:r>
          </w:p>
        </w:tc>
        <w:tc>
          <w:tcPr>
            <w:tcW w:type="dxa" w:w="1440"/>
          </w:tcPr>
          <w:p>
            <w:r>
              <w:rPr>
                <w:rFonts w:ascii="Calibri" w:hAnsi="Calibri"/>
                <w:sz w:val="22"/>
              </w:rPr>
              <w:t>$5.85</w:t>
            </w:r>
          </w:p>
        </w:tc>
        <w:tc>
          <w:tcPr>
            <w:tcW w:type="dxa" w:w="1440"/>
          </w:tcPr>
          <w:p>
            <w:r>
              <w:rPr>
                <w:rFonts w:ascii="Calibri" w:hAnsi="Calibri"/>
                <w:b/>
                <w:color w:val="30A46C"/>
                <w:sz w:val="22"/>
              </w:rPr>
              <w:t>+19.3%</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Operating</w:t>
            </w:r>
          </w:p>
        </w:tc>
        <w:tc>
          <w:tcPr>
            <w:tcW w:type="dxa" w:w="1440"/>
          </w:tcPr>
          <w:p>
            <w:r>
              <w:rPr>
                <w:rFonts w:ascii="Calibri" w:hAnsi="Calibri"/>
                <w:sz w:val="22"/>
              </w:rPr>
              <w:t>$3.82</w:t>
            </w:r>
          </w:p>
        </w:tc>
        <w:tc>
          <w:tcPr>
            <w:tcW w:type="dxa" w:w="1440"/>
          </w:tcPr>
          <w:p>
            <w:r>
              <w:rPr>
                <w:rFonts w:ascii="Calibri" w:hAnsi="Calibri"/>
                <w:sz w:val="22"/>
              </w:rPr>
              <w:t>$3.25</w:t>
            </w:r>
          </w:p>
        </w:tc>
        <w:tc>
          <w:tcPr>
            <w:tcW w:type="dxa" w:w="1440"/>
          </w:tcPr>
          <w:p>
            <w:r>
              <w:rPr>
                <w:rFonts w:ascii="Calibri" w:hAnsi="Calibri"/>
                <w:b/>
                <w:color w:val="30A46C"/>
                <w:sz w:val="22"/>
              </w:rPr>
              <w:t>+17.6%</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Refining EBIT/bbl</w:t>
            </w:r>
          </w:p>
        </w:tc>
        <w:tc>
          <w:tcPr>
            <w:tcW w:type="dxa" w:w="1440"/>
          </w:tcPr>
          <w:p>
            <w:r>
              <w:rPr>
                <w:rFonts w:ascii="Calibri" w:hAnsi="Calibri"/>
                <w:sz w:val="22"/>
              </w:rPr>
              <w:t>$6.05</w:t>
            </w:r>
          </w:p>
        </w:tc>
        <w:tc>
          <w:tcPr>
            <w:tcW w:type="dxa" w:w="1440"/>
          </w:tcPr>
          <w:p>
            <w:r>
              <w:rPr>
                <w:rFonts w:ascii="Calibri" w:hAnsi="Calibri"/>
                <w:sz w:val="22"/>
              </w:rPr>
              <w:t>$5.81</w:t>
            </w:r>
          </w:p>
        </w:tc>
        <w:tc>
          <w:tcPr>
            <w:tcW w:type="dxa" w:w="1440"/>
          </w:tcPr>
          <w:p>
            <w:r>
              <w:rPr>
                <w:rFonts w:ascii="Calibri" w:hAnsi="Calibri"/>
                <w:b/>
                <w:color w:val="30A46C"/>
                <w:sz w:val="22"/>
              </w:rPr>
              <w:t>+4.1%</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EPS — Diluted Operating</w:t>
            </w:r>
          </w:p>
        </w:tc>
        <w:tc>
          <w:tcPr>
            <w:tcW w:type="dxa" w:w="1440"/>
          </w:tcPr>
          <w:p>
            <w:r>
              <w:rPr>
                <w:rFonts w:ascii="Calibri" w:hAnsi="Calibri"/>
                <w:sz w:val="22"/>
              </w:rPr>
              <w:t>$3.66</w:t>
            </w:r>
          </w:p>
        </w:tc>
        <w:tc>
          <w:tcPr>
            <w:tcW w:type="dxa" w:w="1440"/>
          </w:tcPr>
          <w:p>
            <w:r>
              <w:rPr>
                <w:rFonts w:ascii="Calibri" w:hAnsi="Calibri"/>
                <w:sz w:val="22"/>
              </w:rPr>
              <w:t>$3.08</w:t>
            </w:r>
          </w:p>
        </w:tc>
        <w:tc>
          <w:tcPr>
            <w:tcW w:type="dxa" w:w="1440"/>
          </w:tcPr>
          <w:p>
            <w:r>
              <w:rPr>
                <w:rFonts w:ascii="Calibri" w:hAnsi="Calibri"/>
                <w:b/>
                <w:color w:val="30A46C"/>
                <w:sz w:val="22"/>
              </w:rPr>
              <w:t>+18.8%</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Refining EBIT/bbl</w:t>
            </w:r>
          </w:p>
        </w:tc>
        <w:tc>
          <w:tcPr>
            <w:tcW w:type="dxa" w:w="1440"/>
          </w:tcPr>
          <w:p>
            <w:r>
              <w:rPr>
                <w:rFonts w:ascii="Calibri" w:hAnsi="Calibri"/>
                <w:sz w:val="22"/>
              </w:rPr>
              <w:t>$5.86</w:t>
            </w:r>
          </w:p>
        </w:tc>
        <w:tc>
          <w:tcPr>
            <w:tcW w:type="dxa" w:w="1440"/>
          </w:tcPr>
          <w:p>
            <w:r>
              <w:rPr>
                <w:rFonts w:ascii="Calibri" w:hAnsi="Calibri"/>
                <w:sz w:val="22"/>
              </w:rPr>
              <w:t>$5.42</w:t>
            </w:r>
          </w:p>
        </w:tc>
        <w:tc>
          <w:tcPr>
            <w:tcW w:type="dxa" w:w="1440"/>
          </w:tcPr>
          <w:p>
            <w:r>
              <w:rPr>
                <w:rFonts w:ascii="Calibri" w:hAnsi="Calibri"/>
                <w:b/>
                <w:color w:val="30A46C"/>
                <w:sz w:val="22"/>
              </w:rPr>
              <w:t>+8.1%</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 Operating</w:t>
            </w:r>
          </w:p>
        </w:tc>
        <w:tc>
          <w:tcPr>
            <w:tcW w:type="dxa" w:w="1440"/>
          </w:tcPr>
          <w:p>
            <w:r>
              <w:rPr>
                <w:rFonts w:ascii="Calibri" w:hAnsi="Calibri"/>
                <w:sz w:val="22"/>
              </w:rPr>
              <w:t>$2.28</w:t>
            </w:r>
          </w:p>
        </w:tc>
        <w:tc>
          <w:tcPr>
            <w:tcW w:type="dxa" w:w="1440"/>
          </w:tcPr>
          <w:p>
            <w:r>
              <w:rPr>
                <w:rFonts w:ascii="Calibri" w:hAnsi="Calibri"/>
                <w:sz w:val="22"/>
              </w:rPr>
              <w:t>$1.72</w:t>
            </w:r>
          </w:p>
        </w:tc>
        <w:tc>
          <w:tcPr>
            <w:tcW w:type="dxa" w:w="1440"/>
          </w:tcPr>
          <w:p>
            <w:r>
              <w:rPr>
                <w:rFonts w:ascii="Calibri" w:hAnsi="Calibri"/>
                <w:b/>
                <w:color w:val="30A46C"/>
                <w:sz w:val="22"/>
              </w:rPr>
              <w:t>+32.6%</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Refining EBIT/bbl</w:t>
            </w:r>
          </w:p>
        </w:tc>
        <w:tc>
          <w:tcPr>
            <w:tcW w:type="dxa" w:w="1440"/>
          </w:tcPr>
          <w:p>
            <w:r>
              <w:rPr>
                <w:rFonts w:ascii="Calibri" w:hAnsi="Calibri"/>
                <w:sz w:val="22"/>
              </w:rPr>
              <w:t>$4.78</w:t>
            </w:r>
          </w:p>
        </w:tc>
        <w:tc>
          <w:tcPr>
            <w:tcW w:type="dxa" w:w="1440"/>
          </w:tcPr>
          <w:p>
            <w:r>
              <w:rPr>
                <w:rFonts w:ascii="Calibri" w:hAnsi="Calibri"/>
                <w:sz w:val="22"/>
              </w:rPr>
              <w:t>$4.26</w:t>
            </w:r>
          </w:p>
        </w:tc>
        <w:tc>
          <w:tcPr>
            <w:tcW w:type="dxa" w:w="1440"/>
          </w:tcPr>
          <w:p>
            <w:r>
              <w:rPr>
                <w:rFonts w:ascii="Calibri" w:hAnsi="Calibri"/>
                <w:b/>
                <w:color w:val="30A46C"/>
                <w:sz w:val="22"/>
              </w:rPr>
              <w:t>+12.2%</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EPS — Diluted Operating</w:t>
            </w:r>
          </w:p>
        </w:tc>
        <w:tc>
          <w:tcPr>
            <w:tcW w:type="dxa" w:w="1440"/>
          </w:tcPr>
          <w:p>
            <w:r>
              <w:rPr>
                <w:rFonts w:ascii="Calibri" w:hAnsi="Calibri"/>
                <w:sz w:val="22"/>
              </w:rPr>
              <w:t>$0.89</w:t>
            </w:r>
          </w:p>
        </w:tc>
        <w:tc>
          <w:tcPr>
            <w:tcW w:type="dxa" w:w="1440"/>
          </w:tcPr>
          <w:p>
            <w:r>
              <w:rPr>
                <w:rFonts w:ascii="Calibri" w:hAnsi="Calibri"/>
                <w:sz w:val="22"/>
              </w:rPr>
              <w:t>$0.42</w:t>
            </w:r>
          </w:p>
        </w:tc>
        <w:tc>
          <w:tcPr>
            <w:tcW w:type="dxa" w:w="1440"/>
          </w:tcPr>
          <w:p>
            <w:r>
              <w:rPr>
                <w:rFonts w:ascii="Calibri" w:hAnsi="Calibri"/>
                <w:b/>
                <w:color w:val="30A46C"/>
                <w:sz w:val="22"/>
              </w:rPr>
              <w:t>+112%</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Refining EBIT/bbl</w:t>
            </w:r>
          </w:p>
        </w:tc>
        <w:tc>
          <w:tcPr>
            <w:tcW w:type="dxa" w:w="1440"/>
          </w:tcPr>
          <w:p>
            <w:r>
              <w:rPr>
                <w:rFonts w:ascii="Calibri" w:hAnsi="Calibri"/>
                <w:sz w:val="22"/>
              </w:rPr>
              <w:t>$2.38</w:t>
            </w:r>
          </w:p>
        </w:tc>
        <w:tc>
          <w:tcPr>
            <w:tcW w:type="dxa" w:w="1440"/>
          </w:tcPr>
          <w:p>
            <w:r>
              <w:rPr>
                <w:rFonts w:ascii="Calibri" w:hAnsi="Calibri"/>
                <w:sz w:val="22"/>
              </w:rPr>
              <w:t>$1.92</w:t>
            </w:r>
          </w:p>
        </w:tc>
        <w:tc>
          <w:tcPr>
            <w:tcW w:type="dxa" w:w="1440"/>
          </w:tcPr>
          <w:p>
            <w:r>
              <w:rPr>
                <w:rFonts w:ascii="Calibri" w:hAnsi="Calibri"/>
                <w:b/>
                <w:color w:val="30A46C"/>
                <w:sz w:val="22"/>
              </w:rPr>
              <w:t>+24.0%</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EPS — Diluted Operating</w:t>
            </w:r>
          </w:p>
        </w:tc>
        <w:tc>
          <w:tcPr>
            <w:tcW w:type="dxa" w:w="1440"/>
          </w:tcPr>
          <w:p>
            <w:r>
              <w:rPr>
                <w:rFonts w:ascii="Calibri" w:hAnsi="Calibri"/>
                <w:sz w:val="22"/>
              </w:rPr>
              <w:t>$0.64</w:t>
            </w:r>
          </w:p>
        </w:tc>
        <w:tc>
          <w:tcPr>
            <w:tcW w:type="dxa" w:w="1440"/>
          </w:tcPr>
          <w:p>
            <w:r>
              <w:rPr>
                <w:rFonts w:ascii="Calibri" w:hAnsi="Calibri"/>
                <w:sz w:val="22"/>
              </w:rPr>
              <w:t>$0.11</w:t>
            </w:r>
          </w:p>
        </w:tc>
        <w:tc>
          <w:tcPr>
            <w:tcW w:type="dxa" w:w="1440"/>
          </w:tcPr>
          <w:p>
            <w:r>
              <w:rPr>
                <w:rFonts w:ascii="Calibri" w:hAnsi="Calibri"/>
                <w:b/>
                <w:color w:val="30A46C"/>
                <w:sz w:val="22"/>
              </w:rPr>
              <w:t>+482%</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Refining EBIT/bbl</w:t>
            </w:r>
          </w:p>
        </w:tc>
        <w:tc>
          <w:tcPr>
            <w:tcW w:type="dxa" w:w="1440"/>
          </w:tcPr>
          <w:p>
            <w:r>
              <w:rPr>
                <w:rFonts w:ascii="Calibri" w:hAnsi="Calibri"/>
                <w:sz w:val="22"/>
              </w:rPr>
              <w:t>$1.60</w:t>
            </w:r>
          </w:p>
        </w:tc>
        <w:tc>
          <w:tcPr>
            <w:tcW w:type="dxa" w:w="1440"/>
          </w:tcPr>
          <w:p>
            <w:r>
              <w:rPr>
                <w:rFonts w:ascii="Calibri" w:hAnsi="Calibri"/>
                <w:sz w:val="22"/>
              </w:rPr>
              <w:t>$1.19</w:t>
            </w:r>
          </w:p>
        </w:tc>
        <w:tc>
          <w:tcPr>
            <w:tcW w:type="dxa" w:w="1440"/>
          </w:tcPr>
          <w:p>
            <w:r>
              <w:rPr>
                <w:rFonts w:ascii="Calibri" w:hAnsi="Calibri"/>
                <w:b/>
                <w:color w:val="30A46C"/>
                <w:sz w:val="22"/>
              </w:rPr>
              <w:t>+34.5%</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EPS — Diluted Operating</w:t>
            </w:r>
          </w:p>
        </w:tc>
        <w:tc>
          <w:tcPr>
            <w:tcW w:type="dxa" w:w="1440"/>
          </w:tcPr>
          <w:p>
            <w:r>
              <w:rPr>
                <w:rFonts w:ascii="Calibri" w:hAnsi="Calibri"/>
                <w:sz w:val="22"/>
              </w:rPr>
              <w:t>$1.14</w:t>
            </w:r>
          </w:p>
        </w:tc>
        <w:tc>
          <w:tcPr>
            <w:tcW w:type="dxa" w:w="1440"/>
          </w:tcPr>
          <w:p>
            <w:r>
              <w:rPr>
                <w:rFonts w:ascii="Calibri" w:hAnsi="Calibri"/>
                <w:sz w:val="22"/>
              </w:rPr>
              <w:t>$1.01</w:t>
            </w:r>
          </w:p>
        </w:tc>
        <w:tc>
          <w:tcPr>
            <w:tcW w:type="dxa" w:w="1440"/>
          </w:tcPr>
          <w:p>
            <w:r>
              <w:rPr>
                <w:rFonts w:ascii="Calibri" w:hAnsi="Calibri"/>
                <w:b/>
                <w:color w:val="30A46C"/>
                <w:sz w:val="22"/>
              </w:rPr>
              <w:t>+13.0%</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Refining EBIT/bbl</w:t>
            </w:r>
          </w:p>
        </w:tc>
        <w:tc>
          <w:tcPr>
            <w:tcW w:type="dxa" w:w="1440"/>
          </w:tcPr>
          <w:p>
            <w:r>
              <w:rPr>
                <w:rFonts w:ascii="Calibri" w:hAnsi="Calibri"/>
                <w:sz w:val="22"/>
              </w:rPr>
              <w:t>$2.14</w:t>
            </w:r>
          </w:p>
        </w:tc>
        <w:tc>
          <w:tcPr>
            <w:tcW w:type="dxa" w:w="1440"/>
          </w:tcPr>
          <w:p>
            <w:r>
              <w:rPr>
                <w:rFonts w:ascii="Calibri" w:hAnsi="Calibri"/>
                <w:sz w:val="22"/>
              </w:rPr>
              <w:t>$1.96</w:t>
            </w:r>
          </w:p>
        </w:tc>
        <w:tc>
          <w:tcPr>
            <w:tcW w:type="dxa" w:w="1440"/>
          </w:tcPr>
          <w:p>
            <w:r>
              <w:rPr>
                <w:rFonts w:ascii="Calibri" w:hAnsi="Calibri"/>
                <w:b/>
                <w:color w:val="30A46C"/>
                <w:sz w:val="22"/>
              </w:rPr>
              <w:t>+9.2%</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EPS — Diluted Operating</w:t>
            </w:r>
          </w:p>
        </w:tc>
        <w:tc>
          <w:tcPr>
            <w:tcW w:type="dxa" w:w="1440"/>
          </w:tcPr>
          <w:p>
            <w:r>
              <w:rPr>
                <w:rFonts w:ascii="Calibri" w:hAnsi="Calibri"/>
                <w:sz w:val="22"/>
              </w:rPr>
              <w:t>$2.71</w:t>
            </w:r>
          </w:p>
        </w:tc>
        <w:tc>
          <w:tcPr>
            <w:tcW w:type="dxa" w:w="1440"/>
          </w:tcPr>
          <w:p>
            <w:r>
              <w:rPr>
                <w:rFonts w:ascii="Calibri" w:hAnsi="Calibri"/>
                <w:sz w:val="22"/>
              </w:rPr>
              <w:t>$2.59</w:t>
            </w:r>
          </w:p>
        </w:tc>
        <w:tc>
          <w:tcPr>
            <w:tcW w:type="dxa" w:w="1440"/>
          </w:tcPr>
          <w:p>
            <w:r>
              <w:rPr>
                <w:rFonts w:ascii="Calibri" w:hAnsi="Calibri"/>
                <w:b/>
                <w:color w:val="30A46C"/>
                <w:sz w:val="22"/>
              </w:rPr>
              <w:t>+4.6%</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Refining EBIT/bbl</w:t>
            </w:r>
          </w:p>
        </w:tc>
        <w:tc>
          <w:tcPr>
            <w:tcW w:type="dxa" w:w="1440"/>
          </w:tcPr>
          <w:p>
            <w:r>
              <w:rPr>
                <w:rFonts w:ascii="Calibri" w:hAnsi="Calibri"/>
                <w:sz w:val="22"/>
              </w:rPr>
              <w:t>$4.49</w:t>
            </w:r>
          </w:p>
        </w:tc>
        <w:tc>
          <w:tcPr>
            <w:tcW w:type="dxa" w:w="1440"/>
          </w:tcPr>
          <w:p>
            <w:r>
              <w:rPr>
                <w:rFonts w:ascii="Calibri" w:hAnsi="Calibri"/>
                <w:sz w:val="22"/>
              </w:rPr>
              <w:t>$4.58</w:t>
            </w:r>
          </w:p>
        </w:tc>
        <w:tc>
          <w:tcPr>
            <w:tcW w:type="dxa" w:w="1440"/>
          </w:tcPr>
          <w:p>
            <w:r>
              <w:rPr>
                <w:rFonts w:ascii="Calibri" w:hAnsi="Calibri"/>
                <w:b/>
                <w:color w:val="E5484D"/>
                <w:sz w:val="22"/>
              </w:rPr>
              <w:t>-2.0%</w:t>
            </w:r>
          </w:p>
        </w:tc>
        <w:tc>
          <w:tcPr>
            <w:tcW w:type="dxa" w:w="1440"/>
          </w:tcPr>
          <w:p>
            <w:r>
              <w:rPr>
                <w:rFonts w:ascii="Calibri" w:hAnsi="Calibri"/>
                <w:b/>
                <w:sz w:val="22"/>
              </w:rPr>
              <w:t>Miss</w:t>
            </w:r>
          </w:p>
        </w:tc>
      </w:tr>
    </w:tbl>
    <w:p>
      <w:r>
        <w:rPr>
          <w:rFonts w:ascii="Calibri" w:hAnsi="Calibri"/>
          <w:b/>
          <w:color w:val="525866"/>
          <w:sz w:val="22"/>
        </w:rPr>
        <w:t xml:space="preserve">Pattern: </w:t>
      </w:r>
      <w:r>
        <w:rPr>
          <w:rFonts w:ascii="Calibri" w:hAnsi="Calibri"/>
          <w:color w:val="525866"/>
          <w:sz w:val="22"/>
        </w:rPr>
        <w:t>VLO has beaten EPS consensus in 7 of the last 8 quarters with an average positive surprise of ~87% (skewed by the Q4 2024 and Q1 2025 low-bar quarters); Refining EBIT/bbl has beaten in 7 of 8 quarters, with the sole miss in Q2 2024 being marginal (-2%). The consistent beat pattern reflects management’s tendency to guide conservatively on throughput and operating costs.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management’s tone was unambiguously bullish — they described Q2 Gulf Coast indicators as already tracking well above Q1 levels and characterized jet fuel as “incredibly short.” The only post-earnings event was the July 16 $5B buyback authorization, which signals management confidence in sustained cash generation.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Refining Throughput — Gulf Coast (Mbpd)</w:t>
            </w:r>
          </w:p>
        </w:tc>
        <w:tc>
          <w:tcPr>
            <w:tcW w:type="dxa" w:w="1728"/>
          </w:tcPr>
          <w:p>
            <w:r>
              <w:rPr>
                <w:rFonts w:ascii="Calibri" w:hAnsi="Calibri"/>
                <w:sz w:val="22"/>
              </w:rPr>
              <w:t>1,690–1,740 Mbpd (reduced rates at Port Arthur)</w:t>
            </w:r>
          </w:p>
        </w:tc>
        <w:tc>
          <w:tcPr>
            <w:tcW w:type="dxa" w:w="1728"/>
          </w:tcPr>
          <w:p>
            <w:r>
              <w:rPr>
                <w:rFonts w:ascii="Calibri" w:hAnsi="Calibri"/>
                <w:sz w:val="22"/>
              </w:rPr>
              <w:t>—</w:t>
            </w:r>
          </w:p>
        </w:tc>
        <w:tc>
          <w:tcPr>
            <w:tcW w:type="dxa" w:w="1728"/>
          </w:tcPr>
          <w:p>
            <w:r>
              <w:rPr>
                <w:rFonts w:ascii="Calibri" w:hAnsi="Calibri"/>
                <w:sz w:val="22"/>
              </w:rPr>
              <w:t>~2,811 Mbpd total system</w:t>
            </w:r>
          </w:p>
        </w:tc>
        <w:tc>
          <w:tcPr>
            <w:tcW w:type="dxa" w:w="1728"/>
          </w:tcPr>
          <w:p>
            <w:r>
              <w:rPr>
                <w:rFonts w:ascii="Calibri" w:hAnsi="Calibri"/>
                <w:sz w:val="22"/>
              </w:rPr>
              <w:t>Unchanged; Port Arthur diesel hydrotreater still down with no rebuild timeline; kerosene hydrotreater expected back Q3 2026</w:t>
            </w:r>
          </w:p>
        </w:tc>
      </w:tr>
      <w:tr>
        <w:tc>
          <w:tcPr>
            <w:tcW w:type="dxa" w:w="1728"/>
          </w:tcPr>
          <w:p>
            <w:r>
              <w:rPr>
                <w:rFonts w:ascii="Calibri" w:hAnsi="Calibri"/>
                <w:sz w:val="22"/>
              </w:rPr>
              <w:t>Refining Throughput — Mid-Continent (Mbpd)</w:t>
            </w:r>
          </w:p>
        </w:tc>
        <w:tc>
          <w:tcPr>
            <w:tcW w:type="dxa" w:w="1728"/>
          </w:tcPr>
          <w:p>
            <w:r>
              <w:rPr>
                <w:rFonts w:ascii="Calibri" w:hAnsi="Calibri"/>
                <w:sz w:val="22"/>
              </w:rPr>
              <w:t>450–470 Mbpd</w:t>
            </w:r>
          </w:p>
        </w:tc>
        <w:tc>
          <w:tcPr>
            <w:tcW w:type="dxa" w:w="1728"/>
          </w:tcPr>
          <w:p>
            <w:r>
              <w:rPr>
                <w:rFonts w:ascii="Calibri" w:hAnsi="Calibri"/>
                <w:sz w:val="22"/>
              </w:rPr>
              <w:t>—</w:t>
            </w:r>
          </w:p>
        </w:tc>
        <w:tc>
          <w:tcPr>
            <w:tcW w:type="dxa" w:w="1728"/>
          </w:tcPr>
          <w:p>
            <w:r>
              <w:rPr>
                <w:rFonts w:ascii="Calibri" w:hAnsi="Calibri"/>
                <w:sz w:val="22"/>
              </w:rPr>
              <w:t>Included in total system consensus</w:t>
            </w:r>
          </w:p>
        </w:tc>
        <w:tc>
          <w:tcPr>
            <w:tcW w:type="dxa" w:w="1728"/>
          </w:tcPr>
          <w:p>
            <w:r>
              <w:rPr>
                <w:rFonts w:ascii="Calibri" w:hAnsi="Calibri"/>
                <w:sz w:val="22"/>
              </w:rPr>
              <w:t>Unchanged</w:t>
            </w:r>
          </w:p>
        </w:tc>
      </w:tr>
      <w:tr>
        <w:tc>
          <w:tcPr>
            <w:tcW w:type="dxa" w:w="1728"/>
          </w:tcPr>
          <w:p>
            <w:r>
              <w:rPr>
                <w:rFonts w:ascii="Calibri" w:hAnsi="Calibri"/>
                <w:sz w:val="22"/>
              </w:rPr>
              <w:t>Refining Throughput — West Coast (Mbpd)</w:t>
            </w:r>
          </w:p>
        </w:tc>
        <w:tc>
          <w:tcPr>
            <w:tcW w:type="dxa" w:w="1728"/>
          </w:tcPr>
          <w:p>
            <w:r>
              <w:rPr>
                <w:rFonts w:ascii="Calibri" w:hAnsi="Calibri"/>
                <w:sz w:val="22"/>
              </w:rPr>
              <w:t>120–130 Mbpd (Benicia idled)</w:t>
            </w:r>
          </w:p>
        </w:tc>
        <w:tc>
          <w:tcPr>
            <w:tcW w:type="dxa" w:w="1728"/>
          </w:tcPr>
          <w:p>
            <w:r>
              <w:rPr>
                <w:rFonts w:ascii="Calibri" w:hAnsi="Calibri"/>
                <w:sz w:val="22"/>
              </w:rPr>
              <w:t>—</w:t>
            </w:r>
          </w:p>
        </w:tc>
        <w:tc>
          <w:tcPr>
            <w:tcW w:type="dxa" w:w="1728"/>
          </w:tcPr>
          <w:p>
            <w:r>
              <w:rPr>
                <w:rFonts w:ascii="Calibri" w:hAnsi="Calibri"/>
                <w:sz w:val="22"/>
              </w:rPr>
              <w:t>Included in total system consensus</w:t>
            </w:r>
          </w:p>
        </w:tc>
        <w:tc>
          <w:tcPr>
            <w:tcW w:type="dxa" w:w="1728"/>
          </w:tcPr>
          <w:p>
            <w:r>
              <w:rPr>
                <w:rFonts w:ascii="Calibri" w:hAnsi="Calibri"/>
                <w:sz w:val="22"/>
              </w:rPr>
              <w:t>Benicia idling completed April 2026; no change</w:t>
            </w:r>
          </w:p>
        </w:tc>
      </w:tr>
      <w:tr>
        <w:tc>
          <w:tcPr>
            <w:tcW w:type="dxa" w:w="1728"/>
          </w:tcPr>
          <w:p>
            <w:r>
              <w:rPr>
                <w:rFonts w:ascii="Calibri" w:hAnsi="Calibri"/>
                <w:sz w:val="22"/>
              </w:rPr>
              <w:t>Refining Throughput — North Atlantic (Mbpd)</w:t>
            </w:r>
          </w:p>
        </w:tc>
        <w:tc>
          <w:tcPr>
            <w:tcW w:type="dxa" w:w="1728"/>
          </w:tcPr>
          <w:p>
            <w:r>
              <w:rPr>
                <w:rFonts w:ascii="Calibri" w:hAnsi="Calibri"/>
                <w:sz w:val="22"/>
              </w:rPr>
              <w:t>480–500 Mbpd</w:t>
            </w:r>
          </w:p>
        </w:tc>
        <w:tc>
          <w:tcPr>
            <w:tcW w:type="dxa" w:w="1728"/>
          </w:tcPr>
          <w:p>
            <w:r>
              <w:rPr>
                <w:rFonts w:ascii="Calibri" w:hAnsi="Calibri"/>
                <w:sz w:val="22"/>
              </w:rPr>
              <w:t>—</w:t>
            </w:r>
          </w:p>
        </w:tc>
        <w:tc>
          <w:tcPr>
            <w:tcW w:type="dxa" w:w="1728"/>
          </w:tcPr>
          <w:p>
            <w:r>
              <w:rPr>
                <w:rFonts w:ascii="Calibri" w:hAnsi="Calibri"/>
                <w:sz w:val="22"/>
              </w:rPr>
              <w:t>Included in total system consensus</w:t>
            </w:r>
          </w:p>
        </w:tc>
        <w:tc>
          <w:tcPr>
            <w:tcW w:type="dxa" w:w="1728"/>
          </w:tcPr>
          <w:p>
            <w:r>
              <w:rPr>
                <w:rFonts w:ascii="Calibri" w:hAnsi="Calibri"/>
                <w:sz w:val="22"/>
              </w:rPr>
              <w:t>Unchanged; Pembroke margin environment expected favorable</w:t>
            </w:r>
          </w:p>
        </w:tc>
      </w:tr>
      <w:tr>
        <w:tc>
          <w:tcPr>
            <w:tcW w:type="dxa" w:w="1728"/>
          </w:tcPr>
          <w:p>
            <w:r>
              <w:rPr>
                <w:rFonts w:ascii="Calibri" w:hAnsi="Calibri"/>
                <w:sz w:val="22"/>
              </w:rPr>
              <w:t>Refining Cash OpEx/bbl</w:t>
            </w:r>
          </w:p>
        </w:tc>
        <w:tc>
          <w:tcPr>
            <w:tcW w:type="dxa" w:w="1728"/>
          </w:tcPr>
          <w:p>
            <w:r>
              <w:rPr>
                <w:rFonts w:ascii="Calibri" w:hAnsi="Calibri"/>
                <w:sz w:val="22"/>
              </w:rPr>
              <w:t>~$4.85/bbl</w:t>
            </w:r>
          </w:p>
        </w:tc>
        <w:tc>
          <w:tcPr>
            <w:tcW w:type="dxa" w:w="1728"/>
          </w:tcPr>
          <w:p>
            <w:r>
              <w:rPr>
                <w:rFonts w:ascii="Calibri" w:hAnsi="Calibri"/>
                <w:sz w:val="22"/>
              </w:rPr>
              <w:t>—</w:t>
            </w:r>
          </w:p>
        </w:tc>
        <w:tc>
          <w:tcPr>
            <w:tcW w:type="dxa" w:w="1728"/>
          </w:tcPr>
          <w:p>
            <w:r>
              <w:rPr>
                <w:rFonts w:ascii="Calibri" w:hAnsi="Calibri"/>
                <w:sz w:val="22"/>
              </w:rPr>
              <w:t>$4.86/bbl</w:t>
            </w:r>
          </w:p>
        </w:tc>
        <w:tc>
          <w:tcPr>
            <w:tcW w:type="dxa" w:w="1728"/>
          </w:tcPr>
          <w:p>
            <w:r>
              <w:rPr>
                <w:rFonts w:ascii="Calibri" w:hAnsi="Calibri"/>
                <w:sz w:val="22"/>
              </w:rPr>
              <w:t>Consensus essentially in-line with guidance; no revision</w:t>
            </w:r>
          </w:p>
        </w:tc>
      </w:tr>
      <w:tr>
        <w:tc>
          <w:tcPr>
            <w:tcW w:type="dxa" w:w="1728"/>
          </w:tcPr>
          <w:p>
            <w:r>
              <w:rPr>
                <w:rFonts w:ascii="Calibri" w:hAnsi="Calibri"/>
                <w:sz w:val="22"/>
              </w:rPr>
              <w:t>Renewable Diesel Sales Volume</w:t>
            </w:r>
          </w:p>
        </w:tc>
        <w:tc>
          <w:tcPr>
            <w:tcW w:type="dxa" w:w="1728"/>
          </w:tcPr>
          <w:p>
            <w:r>
              <w:rPr>
                <w:rFonts w:ascii="Calibri" w:hAnsi="Calibri"/>
                <w:sz w:val="22"/>
              </w:rPr>
              <w:t>~320M gallons; OpEx $0.46/gal; higher margins vs. Q1 expected; RVO a strong tailwind</w:t>
            </w:r>
          </w:p>
        </w:tc>
        <w:tc>
          <w:tcPr>
            <w:tcW w:type="dxa" w:w="1728"/>
          </w:tcPr>
          <w:p>
            <w:r>
              <w:rPr>
                <w:rFonts w:ascii="Calibri" w:hAnsi="Calibri"/>
                <w:sz w:val="22"/>
              </w:rPr>
              <w:t>—</w:t>
            </w:r>
          </w:p>
        </w:tc>
        <w:tc>
          <w:tcPr>
            <w:tcW w:type="dxa" w:w="1728"/>
          </w:tcPr>
          <w:p>
            <w:r>
              <w:rPr>
                <w:rFonts w:ascii="Calibri" w:hAnsi="Calibri"/>
                <w:sz w:val="22"/>
              </w:rPr>
              <w:t>EBIT consensus $333M</w:t>
            </w:r>
          </w:p>
        </w:tc>
        <w:tc>
          <w:tcPr>
            <w:tcW w:type="dxa" w:w="1728"/>
          </w:tcPr>
          <w:p>
            <w:r>
              <w:rPr>
                <w:rFonts w:ascii="Calibri" w:hAnsi="Calibri"/>
                <w:sz w:val="22"/>
              </w:rPr>
              <w:t>Management noted mark-to-market on forward feedstock positions could be a headwind if commodities continue rising</w:t>
            </w:r>
          </w:p>
        </w:tc>
      </w:tr>
      <w:tr>
        <w:tc>
          <w:tcPr>
            <w:tcW w:type="dxa" w:w="1728"/>
          </w:tcPr>
          <w:p>
            <w:r>
              <w:rPr>
                <w:rFonts w:ascii="Calibri" w:hAnsi="Calibri"/>
                <w:sz w:val="22"/>
              </w:rPr>
              <w:t>Ethanol Production</w:t>
            </w:r>
          </w:p>
        </w:tc>
        <w:tc>
          <w:tcPr>
            <w:tcW w:type="dxa" w:w="1728"/>
          </w:tcPr>
          <w:p>
            <w:r>
              <w:rPr>
                <w:rFonts w:ascii="Calibri" w:hAnsi="Calibri"/>
                <w:sz w:val="22"/>
              </w:rPr>
              <w:t>~4.7M gal/day; OpEx $0.39/gal; 45Z credit upside pending IRS guidance</w:t>
            </w:r>
          </w:p>
        </w:tc>
        <w:tc>
          <w:tcPr>
            <w:tcW w:type="dxa" w:w="1728"/>
          </w:tcPr>
          <w:p>
            <w:r>
              <w:rPr>
                <w:rFonts w:ascii="Calibri" w:hAnsi="Calibri"/>
                <w:sz w:val="22"/>
              </w:rPr>
              <w:t>—</w:t>
            </w:r>
          </w:p>
        </w:tc>
        <w:tc>
          <w:tcPr>
            <w:tcW w:type="dxa" w:w="1728"/>
          </w:tcPr>
          <w:p>
            <w:r>
              <w:rPr>
                <w:rFonts w:ascii="Calibri" w:hAnsi="Calibri"/>
                <w:sz w:val="22"/>
              </w:rPr>
              <w:t>EBIT consensus $191M</w:t>
            </w:r>
          </w:p>
        </w:tc>
        <w:tc>
          <w:tcPr>
            <w:tcW w:type="dxa" w:w="1728"/>
          </w:tcPr>
          <w:p>
            <w:r>
              <w:rPr>
                <w:rFonts w:ascii="Calibri" w:hAnsi="Calibri"/>
                <w:sz w:val="22"/>
              </w:rPr>
              <w:t>Additional $0.10–$0.20/gal 45Z credit possible once IRS guidance published (potentially end of 2026 or 2027)</w:t>
            </w:r>
          </w:p>
        </w:tc>
      </w:tr>
      <w:tr>
        <w:tc>
          <w:tcPr>
            <w:tcW w:type="dxa" w:w="1728"/>
          </w:tcPr>
          <w:p>
            <w:r>
              <w:rPr>
                <w:rFonts w:ascii="Calibri" w:hAnsi="Calibri"/>
                <w:sz w:val="22"/>
              </w:rPr>
              <w:t>Net Interest Expense (Q2)</w:t>
            </w:r>
          </w:p>
        </w:tc>
        <w:tc>
          <w:tcPr>
            <w:tcW w:type="dxa" w:w="1728"/>
          </w:tcPr>
          <w:p>
            <w:r>
              <w:rPr>
                <w:rFonts w:ascii="Calibri" w:hAnsi="Calibri"/>
                <w:sz w:val="22"/>
              </w:rPr>
              <w:t>~$145M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w:t>
            </w:r>
          </w:p>
        </w:tc>
      </w:tr>
      <w:tr>
        <w:tc>
          <w:tcPr>
            <w:tcW w:type="dxa" w:w="1728"/>
          </w:tcPr>
          <w:p>
            <w:r>
              <w:rPr>
                <w:rFonts w:ascii="Calibri" w:hAnsi="Calibri"/>
                <w:sz w:val="22"/>
              </w:rPr>
              <w:t>D&amp;A Expense (Q2)</w:t>
            </w:r>
          </w:p>
        </w:tc>
        <w:tc>
          <w:tcPr>
            <w:tcW w:type="dxa" w:w="1728"/>
          </w:tcPr>
          <w:p>
            <w:r>
              <w:rPr>
                <w:rFonts w:ascii="Calibri" w:hAnsi="Calibri"/>
                <w:sz w:val="22"/>
              </w:rPr>
              <w:t>~$730M (incl. ~$33M incremental Benicia depreciation through April)</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Benicia incremental D&amp;A ~$0.09/share EPS impact in Q2</w:t>
            </w:r>
          </w:p>
        </w:tc>
      </w:tr>
      <w:tr>
        <w:tc>
          <w:tcPr>
            <w:tcW w:type="dxa" w:w="1728"/>
          </w:tcPr>
          <w:p>
            <w:r>
              <w:rPr>
                <w:rFonts w:ascii="Calibri" w:hAnsi="Calibri"/>
                <w:sz w:val="22"/>
              </w:rPr>
              <w:t>G&amp;A Expenses (Full Year 2026)</w:t>
            </w:r>
          </w:p>
        </w:tc>
        <w:tc>
          <w:tcPr>
            <w:tcW w:type="dxa" w:w="1728"/>
          </w:tcPr>
          <w:p>
            <w:r>
              <w:rPr>
                <w:rFonts w:ascii="Calibri" w:hAnsi="Calibri"/>
                <w:sz w:val="22"/>
              </w:rPr>
              <w:t>~$960M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w:t>
            </w:r>
          </w:p>
        </w:tc>
      </w:tr>
      <w:tr>
        <w:tc>
          <w:tcPr>
            <w:tcW w:type="dxa" w:w="1728"/>
          </w:tcPr>
          <w:p>
            <w:r>
              <w:rPr>
                <w:rFonts w:ascii="Calibri" w:hAnsi="Calibri"/>
                <w:sz w:val="22"/>
              </w:rPr>
              <w:t>Capital Expenditures (Port Arthur)</w:t>
            </w:r>
          </w:p>
        </w:tc>
        <w:tc>
          <w:tcPr>
            <w:tcW w:type="dxa" w:w="1728"/>
          </w:tcPr>
          <w:p>
            <w:r>
              <w:rPr>
                <w:rFonts w:ascii="Calibri" w:hAnsi="Calibri"/>
                <w:sz w:val="22"/>
              </w:rPr>
              <w:t>Additional CapEx expected; covered by insurance subject to deductibles; definitive cost estimate pending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watch item: any update on rebuild timeline or insurance recovery on Q2 call</w:t>
            </w:r>
          </w:p>
        </w:tc>
      </w:tr>
      <w:tr>
        <w:tc>
          <w:tcPr>
            <w:tcW w:type="dxa" w:w="1728"/>
          </w:tcPr>
          <w:p>
            <w:r>
              <w:rPr>
                <w:rFonts w:ascii="Calibri" w:hAnsi="Calibri"/>
                <w:sz w:val="22"/>
              </w:rPr>
              <w:t>St. Charles FCC Optimization Project</w:t>
            </w:r>
          </w:p>
        </w:tc>
        <w:tc>
          <w:tcPr>
            <w:tcW w:type="dxa" w:w="1728"/>
          </w:tcPr>
          <w:p>
            <w:r>
              <w:rPr>
                <w:rFonts w:ascii="Calibri" w:hAnsi="Calibri"/>
                <w:sz w:val="22"/>
              </w:rPr>
              <w:t>$230M project; expected to begin operations Q3 2026; enhances alkylate production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growth catalyst for H2 2026</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print — Q2 2026 EPS consensus is up ~6.3% from the post-earnings baseline, and FY2026 EPS is up ~6.5% — tracking management’s bullish tone. The gap between current consensus and the post-print baseline represents upward revision momentum, not risk, and the Iran-conflict macro likely means the street is still under-modeling realized margins.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$9.49</w:t>
            </w:r>
          </w:p>
        </w:tc>
        <w:tc>
          <w:tcPr>
            <w:tcW w:type="dxa" w:w="1080"/>
          </w:tcPr>
          <w:p>
            <w:r>
              <w:rPr>
                <w:rFonts w:ascii="Calibri" w:hAnsi="Calibri"/>
                <w:sz w:val="22"/>
              </w:rPr>
              <w:t>$10.08</w:t>
            </w:r>
          </w:p>
        </w:tc>
        <w:tc>
          <w:tcPr>
            <w:tcW w:type="dxa" w:w="1080"/>
          </w:tcPr>
          <w:p>
            <w:r>
              <w:rPr>
                <w:rFonts w:ascii="Calibri" w:hAnsi="Calibri"/>
                <w:b/>
                <w:color w:val="30A46C"/>
                <w:sz w:val="22"/>
              </w:rPr>
              <w:t>+6.3%</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Revenues (Q2 2026)</w:t>
            </w:r>
          </w:p>
        </w:tc>
        <w:tc>
          <w:tcPr>
            <w:tcW w:type="dxa" w:w="1080"/>
          </w:tcPr>
          <w:p>
            <w:r>
              <w:rPr>
                <w:rFonts w:ascii="Calibri" w:hAnsi="Calibri"/>
                <w:sz w:val="22"/>
              </w:rPr>
              <w:t>$37.7B</w:t>
            </w:r>
          </w:p>
        </w:tc>
        <w:tc>
          <w:tcPr>
            <w:tcW w:type="dxa" w:w="1080"/>
          </w:tcPr>
          <w:p>
            <w:r>
              <w:rPr>
                <w:rFonts w:ascii="Calibri" w:hAnsi="Calibri"/>
                <w:sz w:val="22"/>
              </w:rPr>
              <w:t>$39.1B</w:t>
            </w:r>
          </w:p>
        </w:tc>
        <w:tc>
          <w:tcPr>
            <w:tcW w:type="dxa" w:w="1080"/>
          </w:tcPr>
          <w:p>
            <w:r>
              <w:rPr>
                <w:rFonts w:ascii="Calibri" w:hAnsi="Calibri"/>
                <w:b/>
                <w:color w:val="30A46C"/>
                <w:sz w:val="22"/>
              </w:rPr>
              <w:t>+3.7%</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Throughput/day — Total (Q2 2026)</w:t>
            </w:r>
          </w:p>
        </w:tc>
        <w:tc>
          <w:tcPr>
            <w:tcW w:type="dxa" w:w="1080"/>
          </w:tcPr>
          <w:p>
            <w:r>
              <w:rPr>
                <w:rFonts w:ascii="Calibri" w:hAnsi="Calibri"/>
                <w:sz w:val="22"/>
              </w:rPr>
              <w:t>2,806 Mbpd</w:t>
            </w:r>
          </w:p>
        </w:tc>
        <w:tc>
          <w:tcPr>
            <w:tcW w:type="dxa" w:w="1080"/>
          </w:tcPr>
          <w:p>
            <w:r>
              <w:rPr>
                <w:rFonts w:ascii="Calibri" w:hAnsi="Calibri"/>
                <w:sz w:val="22"/>
              </w:rPr>
              <w:t>2,811 Mbpd</w:t>
            </w:r>
          </w:p>
        </w:tc>
        <w:tc>
          <w:tcPr>
            <w:tcW w:type="dxa" w:w="1080"/>
          </w:tcPr>
          <w:p>
            <w:r>
              <w:rPr>
                <w:rFonts w:ascii="Calibri" w:hAnsi="Calibri"/>
                <w:sz w:val="22"/>
              </w:rPr>
              <w:t>+0.2%</w:t>
            </w:r>
          </w:p>
        </w:tc>
        <w:tc>
          <w:tcPr>
            <w:tcW w:type="dxa" w:w="1080"/>
          </w:tcPr>
          <w:p>
            <w:r>
              <w:rPr>
                <w:rFonts w:ascii="Calibri" w:hAnsi="Calibri"/>
                <w:sz w:val="22"/>
              </w:rPr>
              <w:t>GC 1,690–1,740; MC 450–470; WC 120–130; NA 480–500 (Mbpd)</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~In-line with guidance midpoint (~2,815 Mbpd)</w:t>
            </w:r>
          </w:p>
        </w:tc>
      </w:tr>
      <w:tr>
        <w:tc>
          <w:tcPr>
            <w:tcW w:type="dxa" w:w="1080"/>
          </w:tcPr>
          <w:p>
            <w:r>
              <w:rPr>
                <w:rFonts w:ascii="Calibri" w:hAnsi="Calibri"/>
                <w:sz w:val="22"/>
              </w:rPr>
              <w:t>Refining EBIT/bbl (Q2 2026)</w:t>
            </w:r>
          </w:p>
        </w:tc>
        <w:tc>
          <w:tcPr>
            <w:tcW w:type="dxa" w:w="1080"/>
          </w:tcPr>
          <w:p>
            <w:r>
              <w:rPr>
                <w:rFonts w:ascii="Calibri" w:hAnsi="Calibri"/>
                <w:sz w:val="22"/>
              </w:rPr>
              <w:t>$12.82/bbl</w:t>
            </w:r>
          </w:p>
        </w:tc>
        <w:tc>
          <w:tcPr>
            <w:tcW w:type="dxa" w:w="1080"/>
          </w:tcPr>
          <w:p>
            <w:r>
              <w:rPr>
                <w:rFonts w:ascii="Calibri" w:hAnsi="Calibri"/>
                <w:sz w:val="22"/>
              </w:rPr>
              <w:t>$14.73/bbl</w:t>
            </w:r>
          </w:p>
        </w:tc>
        <w:tc>
          <w:tcPr>
            <w:tcW w:type="dxa" w:w="1080"/>
          </w:tcPr>
          <w:p>
            <w:r>
              <w:rPr>
                <w:rFonts w:ascii="Calibri" w:hAnsi="Calibri"/>
                <w:b/>
                <w:color w:val="30A46C"/>
                <w:sz w:val="22"/>
              </w:rPr>
              <w:t>+14.9%</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Gulf Coast Realized Gross Profit/bbl (Q2 2026)</w:t>
            </w:r>
          </w:p>
        </w:tc>
        <w:tc>
          <w:tcPr>
            <w:tcW w:type="dxa" w:w="1080"/>
          </w:tcPr>
          <w:p>
            <w:r>
              <w:rPr>
                <w:rFonts w:ascii="Calibri" w:hAnsi="Calibri"/>
                <w:sz w:val="22"/>
              </w:rPr>
              <w:t>$21.12/bbl</w:t>
            </w:r>
          </w:p>
        </w:tc>
        <w:tc>
          <w:tcPr>
            <w:tcW w:type="dxa" w:w="1080"/>
          </w:tcPr>
          <w:p>
            <w:r>
              <w:rPr>
                <w:rFonts w:ascii="Calibri" w:hAnsi="Calibri"/>
                <w:sz w:val="22"/>
              </w:rPr>
              <w:t>$22.25/bbl</w:t>
            </w:r>
          </w:p>
        </w:tc>
        <w:tc>
          <w:tcPr>
            <w:tcW w:type="dxa" w:w="1080"/>
          </w:tcPr>
          <w:p>
            <w:r>
              <w:rPr>
                <w:rFonts w:ascii="Calibri" w:hAnsi="Calibri"/>
                <w:b/>
                <w:color w:val="30A46C"/>
                <w:sz w:val="22"/>
              </w:rPr>
              <w:t>+5.4%</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Renewable Diesel EBIT (Q2 2026)</w:t>
            </w:r>
          </w:p>
        </w:tc>
        <w:tc>
          <w:tcPr>
            <w:tcW w:type="dxa" w:w="1080"/>
          </w:tcPr>
          <w:p>
            <w:r>
              <w:rPr>
                <w:rFonts w:ascii="Calibri" w:hAnsi="Calibri"/>
                <w:sz w:val="22"/>
              </w:rPr>
              <w:t>$348M</w:t>
            </w:r>
          </w:p>
        </w:tc>
        <w:tc>
          <w:tcPr>
            <w:tcW w:type="dxa" w:w="1080"/>
          </w:tcPr>
          <w:p>
            <w:r>
              <w:rPr>
                <w:rFonts w:ascii="Calibri" w:hAnsi="Calibri"/>
                <w:sz w:val="22"/>
              </w:rPr>
              <w:t>$333M</w:t>
            </w:r>
          </w:p>
        </w:tc>
        <w:tc>
          <w:tcPr>
            <w:tcW w:type="dxa" w:w="1080"/>
          </w:tcPr>
          <w:p>
            <w:r>
              <w:rPr>
                <w:rFonts w:ascii="Calibri" w:hAnsi="Calibri"/>
                <w:b/>
                <w:color w:val="E5484D"/>
                <w:sz w:val="22"/>
              </w:rPr>
              <w:t>-4.3%</w:t>
            </w:r>
          </w:p>
        </w:tc>
        <w:tc>
          <w:tcPr>
            <w:tcW w:type="dxa" w:w="1080"/>
          </w:tcPr>
          <w:p>
            <w:r>
              <w:rPr>
                <w:rFonts w:ascii="Calibri" w:hAnsi="Calibri"/>
                <w:sz w:val="22"/>
              </w:rPr>
              <w:t>Higher margins vs. Q1; RVO tailwind; sales ~320M gal</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Consensus slightly below initial post-print estimate; mark-to-market feedstock risk flagged</w:t>
            </w:r>
          </w:p>
        </w:tc>
      </w:tr>
      <w:tr>
        <w:tc>
          <w:tcPr>
            <w:tcW w:type="dxa" w:w="1080"/>
          </w:tcPr>
          <w:p>
            <w:r>
              <w:rPr>
                <w:rFonts w:ascii="Calibri" w:hAnsi="Calibri"/>
                <w:sz w:val="22"/>
              </w:rPr>
              <w:t>Ethanol EBIT (Q2 2026)</w:t>
            </w:r>
          </w:p>
        </w:tc>
        <w:tc>
          <w:tcPr>
            <w:tcW w:type="dxa" w:w="1080"/>
          </w:tcPr>
          <w:p>
            <w:r>
              <w:rPr>
                <w:rFonts w:ascii="Calibri" w:hAnsi="Calibri"/>
                <w:sz w:val="22"/>
              </w:rPr>
              <w:t>$356M</w:t>
            </w:r>
          </w:p>
        </w:tc>
        <w:tc>
          <w:tcPr>
            <w:tcW w:type="dxa" w:w="1080"/>
          </w:tcPr>
          <w:p>
            <w:r>
              <w:rPr>
                <w:rFonts w:ascii="Calibri" w:hAnsi="Calibri"/>
                <w:sz w:val="22"/>
              </w:rPr>
              <w:t>$191M</w:t>
            </w:r>
          </w:p>
        </w:tc>
        <w:tc>
          <w:tcPr>
            <w:tcW w:type="dxa" w:w="1080"/>
          </w:tcPr>
          <w:p>
            <w:r>
              <w:rPr>
                <w:rFonts w:ascii="Calibri" w:hAnsi="Calibri"/>
                <w:b/>
                <w:color w:val="E5484D"/>
                <w:sz w:val="22"/>
              </w:rPr>
              <w:t>-46.4%</w:t>
            </w:r>
          </w:p>
        </w:tc>
        <w:tc>
          <w:tcPr>
            <w:tcW w:type="dxa" w:w="1080"/>
          </w:tcPr>
          <w:p>
            <w:r>
              <w:rPr>
                <w:rFonts w:ascii="Calibri" w:hAnsi="Calibri"/>
                <w:sz w:val="22"/>
              </w:rPr>
              <w:t>Production ~4.7M gal/day; OpEx $0.39/gal; 45Z upside pending</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Large downward revision in ethanol consensus since Q1 print; 45Z credit timing uncertainty likely driving this</w:t>
            </w:r>
          </w:p>
        </w:tc>
      </w:tr>
    </w:tbl>
    <w:p>
      <w:r>
        <w:rPr>
          <w:rFonts w:ascii="Calibri" w:hAnsi="Calibri"/>
          <w:b/>
          <w:color w:val="525866"/>
          <w:sz w:val="22"/>
        </w:rPr>
        <w:t xml:space="preserve">Note: </w:t>
      </w:r>
      <w:r>
        <w:rPr>
          <w:rFonts w:ascii="Calibri" w:hAnsi="Calibri"/>
          <w:color w:val="525866"/>
          <w:sz w:val="22"/>
        </w:rPr>
        <w:t>The large downward revision in Ethanol EBIT consensus (from $356M to $191M) likely reflects uncertainty around 45Z credit recognition timing — management indicated additional credits ($0.10–$0.20/gal) are pending IRS guidance, potentially not recognized until end of 2026 or 2027. This creates asymmetric upside if IRS guidance arrives sooner than expected. All figures sourced from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VLO’s +19.3% gain since the Q1 earnings date (vs. XLE -1.7%, SPY +1.5%) is almost entirely revision- and sentiment-driven — the Iran conflict macro re-rated the entire earnings trajectory, and the July 16 $5B buyback authorization added a further catalyst. The stock is trading near all-time highs, meaning the multiple has expanded meaningfully and the bar for a positive reaction on Q2 results is higher.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VLO vs. XLE vs. S&amp;P 500 — Indexed to 100 at Q1 2026 Earnings Date (April 30, 2026). Source: Yahoo Finance / Stock Price Data.</w:t>
      </w:r>
    </w:p>
    <w:p>
      <w:r>
        <w:rPr>
          <w:rFonts w:ascii="Calibri" w:hAnsi="Calibri"/>
          <w:b/>
          <w:color w:val="525866"/>
          <w:sz w:val="22"/>
        </w:rPr>
        <w:t xml:space="preserve">Key observations: </w:t>
      </w:r>
      <w:r>
        <w:rPr>
          <w:rFonts w:ascii="Calibri" w:hAnsi="Calibri"/>
          <w:color w:val="525866"/>
          <w:sz w:val="22"/>
        </w:rPr>
        <w:t>VLO surged sharply in the first two trading days post-Q1 earnings (April 30 – May 1), then pulled back to the $236–$244 range in mid-May as crude prices softened and backwardation concerns emerged. The stock re-accelerated from late June through mid-July, driven by the July 16 $5B buyback authorization and continued crack spread strength, reaching a peak of ~$315 on July 21. A modest pullback to ~$299–$305 in the final week before earnings is typical pre-print consolidation. XLE has been essentially flat to down over the same period, confirming VLO’s outperformance is company-specific rather than sector-driven. SPY has been range-bound, providing no meaningful tailwind or headwind.</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16 $5B buyback authorization — the largest in VLO’s history — which signals management’s conviction that the current earnings environment is durable and that the stock remains undervalued even near all-time highs. The Port Arthur diesel hydrotreater outage remains the key operational overhang.</w:t>
      </w:r>
    </w:p>
    <w:p>
      <w:pPr>
        <w:pStyle w:val="ListBullet"/>
        <w:ind w:left="360" w:hanging="360"/>
      </w:pPr>
      <w:r>
        <w:rPr>
          <w:rFonts w:ascii="Calibri" w:hAnsi="Calibri"/>
          <w:b/>
          <w:color w:val="525866"/>
          <w:sz w:val="22"/>
        </w:rPr>
        <w:t>July 16, 2026 — Board Authorizes New $5.0B Stock Repurchase Program (8-K):</w:t>
      </w:r>
      <w:r>
        <w:rPr>
          <w:rFonts w:ascii="Calibri" w:hAnsi="Calibri"/>
          <w:color w:val="525866"/>
          <w:sz w:val="22"/>
        </w:rPr>
        <w:t xml:space="preserve"> Valero’s board approved a new $5.0B buyback with no expiration date, in addition to the $1.4B remaining under the February 2026 $2.5B program. Total buyback capacity now stands at ~$6.4B. </w:t>
      </w:r>
    </w:p>
    <w:p>
      <w:pPr>
        <w:pStyle w:val="ListBullet"/>
        <w:ind w:left="360" w:hanging="360"/>
      </w:pPr>
      <w:r>
        <w:rPr>
          <w:rFonts w:ascii="Calibri" w:hAnsi="Calibri"/>
          <w:i/>
          <w:color w:val="525866"/>
          <w:sz w:val="22"/>
        </w:rPr>
        <w:t>Implication:</w:t>
      </w:r>
      <w:r>
        <w:rPr>
          <w:rFonts w:ascii="Calibri" w:hAnsi="Calibri"/>
          <w:color w:val="525866"/>
          <w:sz w:val="22"/>
        </w:rPr>
        <w:t xml:space="preserve"> This is the single most important capital allocation signal since Q1 earnings. At current share prices (~$300), $6.4B represents ~21M shares or ~7% of the float. Management is effectively telling the market they expect sustained free cash flow well above the dividend, and that the Iran-conflict earnings environment is not a one-quarter phenomenon.</w:t>
      </w:r>
    </w:p>
    <w:p>
      <w:pPr>
        <w:pStyle w:val="ListBullet"/>
        <w:ind w:left="360" w:hanging="360"/>
      </w:pPr>
      <w:r>
        <w:rPr>
          <w:rFonts w:ascii="Calibri" w:hAnsi="Calibri"/>
          <w:b/>
          <w:color w:val="525866"/>
          <w:sz w:val="22"/>
        </w:rPr>
        <w:t>May 7–8, 2026 — SVP Eric Fisher Announces Retirement (8-K):</w:t>
      </w:r>
      <w:r>
        <w:rPr>
          <w:rFonts w:ascii="Calibri" w:hAnsi="Calibri"/>
          <w:color w:val="525866"/>
          <w:sz w:val="22"/>
        </w:rPr>
        <w:t xml:space="preserve"> Eric Fisher, Senior VP of Product Supply, Trading and Wholesale, announced retirement effective ~July 1, 2026. Fisher oversaw VLO’s crude sourcing and product trading operations — a critical function in the current high-volatility environment. </w:t>
      </w:r>
    </w:p>
    <w:p>
      <w:pPr>
        <w:pStyle w:val="ListBullet"/>
        <w:ind w:left="360" w:hanging="360"/>
      </w:pPr>
      <w:r>
        <w:rPr>
          <w:rFonts w:ascii="Calibri" w:hAnsi="Calibri"/>
          <w:i/>
          <w:color w:val="525866"/>
          <w:sz w:val="22"/>
        </w:rPr>
        <w:t>Implication:</w:t>
      </w:r>
      <w:r>
        <w:rPr>
          <w:rFonts w:ascii="Calibri" w:hAnsi="Calibri"/>
          <w:color w:val="525866"/>
          <w:sz w:val="22"/>
        </w:rPr>
        <w:t xml:space="preserve"> Succession risk is modest given VLO’s deep bench and internal transition plan, but investors may probe management on the Q2 call for details on the new leadership structure and any impact on crude optimization strategy.</w:t>
      </w:r>
    </w:p>
    <w:p>
      <w:pPr>
        <w:pStyle w:val="ListBullet"/>
        <w:ind w:left="360" w:hanging="360"/>
      </w:pPr>
      <w:r>
        <w:rPr>
          <w:rFonts w:ascii="Calibri" w:hAnsi="Calibri"/>
          <w:b/>
          <w:color w:val="525866"/>
          <w:sz w:val="22"/>
        </w:rPr>
        <w:t>April 2026 — Benicia Refinery Idling Completed:</w:t>
      </w:r>
      <w:r>
        <w:rPr>
          <w:rFonts w:ascii="Calibri" w:hAnsi="Calibri"/>
          <w:color w:val="525866"/>
          <w:sz w:val="22"/>
        </w:rPr>
        <w:t xml:space="preserve"> VLO completed the idling of its Benicia, CA refinery as planned. West Coast throughput guidance of 120–130 Mbpd for Q2 reflects the reduced footprint. </w:t>
      </w:r>
    </w:p>
    <w:p>
      <w:pPr>
        <w:pStyle w:val="ListBullet"/>
        <w:ind w:left="360" w:hanging="360"/>
      </w:pPr>
      <w:r>
        <w:rPr>
          <w:rFonts w:ascii="Calibri" w:hAnsi="Calibri"/>
          <w:i/>
          <w:color w:val="525866"/>
          <w:sz w:val="22"/>
        </w:rPr>
        <w:t>Implication:</w:t>
      </w:r>
      <w:r>
        <w:rPr>
          <w:rFonts w:ascii="Calibri" w:hAnsi="Calibri"/>
          <w:color w:val="525866"/>
          <w:sz w:val="22"/>
        </w:rPr>
        <w:t xml:space="preserve"> Removes a structurally challenged, high-cost asset from the portfolio; modestly reduces throughput but improves system-wide margin capture. Incremental D&amp;A of ~$33M in Q2 (through April) is a known headwind.</w:t>
      </w:r>
    </w:p>
    <w:p>
      <w:pPr>
        <w:pStyle w:val="ListBullet"/>
        <w:ind w:left="360" w:hanging="360"/>
      </w:pPr>
      <w:r>
        <w:rPr>
          <w:rFonts w:ascii="Calibri" w:hAnsi="Calibri"/>
          <w:b/>
          <w:color w:val="525866"/>
          <w:sz w:val="22"/>
        </w:rPr>
        <w:t>March 23, 2026 — Port Arthur Refinery Fire (Diesel Hydrotreater):</w:t>
      </w:r>
      <w:r>
        <w:rPr>
          <w:rFonts w:ascii="Calibri" w:hAnsi="Calibri"/>
          <w:color w:val="525866"/>
          <w:sz w:val="22"/>
        </w:rPr>
        <w:t xml:space="preserve"> Fire extensively damaged the diesel hydrotreater at VLO’s largest refinery. The kerosene hydrotreater is expected back in Q3 2026; the diesel hydrotreater has no defined rebuild timeline. </w:t>
      </w:r>
    </w:p>
    <w:p>
      <w:pPr>
        <w:pStyle w:val="ListBullet"/>
        <w:ind w:left="360" w:hanging="360"/>
      </w:pPr>
      <w:r>
        <w:rPr>
          <w:rFonts w:ascii="Calibri" w:hAnsi="Calibri"/>
          <w:i/>
          <w:color w:val="525866"/>
          <w:sz w:val="22"/>
        </w:rPr>
        <w:t>Implication:</w:t>
      </w:r>
      <w:r>
        <w:rPr>
          <w:rFonts w:ascii="Calibri" w:hAnsi="Calibri"/>
          <w:color w:val="525866"/>
          <w:sz w:val="22"/>
        </w:rPr>
        <w:t xml:space="preserve"> The most significant operational overhang. Reduces distillate yield and capture rates at the Gulf Coast’s most important asset. Any update on rebuild timeline, insurance recovery, or interim workarounds will be closely watched on the Q2 call.</w:t>
      </w:r>
    </w:p>
    <w:p>
      <w:pPr>
        <w:pStyle w:val="ListBullet"/>
        <w:ind w:left="360" w:hanging="360"/>
      </w:pPr>
      <w:r>
        <w:rPr>
          <w:rFonts w:ascii="Calibri" w:hAnsi="Calibri"/>
          <w:b/>
          <w:color w:val="525866"/>
          <w:sz w:val="22"/>
        </w:rPr>
        <w:t>Q3 2026 — St. Charles FCC Optimization Project On Track:</w:t>
      </w:r>
      <w:r>
        <w:rPr>
          <w:rFonts w:ascii="Calibri" w:hAnsi="Calibri"/>
          <w:color w:val="525866"/>
          <w:sz w:val="22"/>
        </w:rPr>
        <w:t xml:space="preserve"> The $230M FCC unit optimization project at St. Charles is expected to begin operations in Q3 2026, enhancing alkylate production capacity. </w:t>
      </w:r>
    </w:p>
    <w:p>
      <w:pPr>
        <w:pStyle w:val="ListBullet"/>
        <w:ind w:left="360" w:hanging="360"/>
      </w:pPr>
      <w:r>
        <w:rPr>
          <w:rFonts w:ascii="Calibri" w:hAnsi="Calibri"/>
          <w:i/>
          <w:color w:val="525866"/>
          <w:sz w:val="22"/>
        </w:rPr>
        <w:t>Implication:</w:t>
      </w:r>
      <w:r>
        <w:rPr>
          <w:rFonts w:ascii="Calibri" w:hAnsi="Calibri"/>
          <w:color w:val="525866"/>
          <w:sz w:val="22"/>
        </w:rPr>
        <w:t xml:space="preserve"> Positive growth catalyst for H2 2026; alkylate commands a premium in the current high-octane demand environment.</w:t>
      </w:r>
    </w:p>
    <w:p>
      <w:pPr>
        <w:pStyle w:val="ListBullet"/>
        <w:ind w:left="360" w:hanging="360"/>
      </w:pPr>
      <w:r>
        <w:rPr>
          <w:rFonts w:ascii="Calibri" w:hAnsi="Calibri"/>
          <w:b/>
          <w:color w:val="525866"/>
          <w:sz w:val="22"/>
        </w:rPr>
        <w:t>Ongoing — Iran Conflict / Strait of Hormuz Disruption:</w:t>
      </w:r>
      <w:r>
        <w:rPr>
          <w:rFonts w:ascii="Calibri" w:hAnsi="Calibri"/>
          <w:color w:val="525866"/>
          <w:sz w:val="22"/>
        </w:rPr>
        <w:t xml:space="preserve"> The geopolitical conflict has kept global refined product inventories at multi-year lows, distillate crack spreads elevated, and jet fuel structurally short. Management estimated it would take 6 months to a year to restock inventories to pre-conflict levels even after any resolution. </w:t>
      </w:r>
    </w:p>
    <w:p>
      <w:pPr>
        <w:pStyle w:val="ListBullet"/>
        <w:ind w:left="360" w:hanging="360"/>
      </w:pPr>
      <w:r>
        <w:rPr>
          <w:rFonts w:ascii="Calibri" w:hAnsi="Calibri"/>
          <w:i/>
          <w:color w:val="525866"/>
          <w:sz w:val="22"/>
        </w:rPr>
        <w:t>Implication:</w:t>
      </w:r>
      <w:r>
        <w:rPr>
          <w:rFonts w:ascii="Calibri" w:hAnsi="Calibri"/>
          <w:color w:val="525866"/>
          <w:sz w:val="22"/>
        </w:rPr>
        <w:t xml:space="preserve"> The single biggest macro tailwind for VLO’s Q2 results and the primary driver of the stock’s outperformance. Any ceasefire or Strait reopening announcement would be the key downside risk to the stock.</w:t>
      </w:r>
    </w:p>
    <w:p>
      <w:pPr>
        <w:pStyle w:val="ListBullet"/>
        <w:ind w:left="360" w:hanging="360"/>
      </w:pPr>
      <w:r>
        <w:rPr>
          <w:rFonts w:ascii="Calibri" w:hAnsi="Calibri"/>
          <w:b/>
          <w:color w:val="525866"/>
          <w:sz w:val="22"/>
        </w:rPr>
        <w:t>Ongoing — Venezuelan Crude Availability:</w:t>
      </w:r>
      <w:r>
        <w:rPr>
          <w:rFonts w:ascii="Calibri" w:hAnsi="Calibri"/>
          <w:color w:val="525866"/>
          <w:sz w:val="22"/>
        </w:rPr>
        <w:t xml:space="preserve"> Venezuelan crude has returned to the market and is flowing into Gulf Coast assets, widening heavy sour differentials and benefiting VLO’s high-complexity system. Management described this as “great news” and is actively maximizing heavy crude processing. </w:t>
      </w:r>
    </w:p>
    <w:p>
      <w:pPr>
        <w:pStyle w:val="ListBullet"/>
        <w:ind w:left="360" w:hanging="360"/>
      </w:pPr>
      <w:r>
        <w:rPr>
          <w:rFonts w:ascii="Calibri" w:hAnsi="Calibri"/>
          <w:i/>
          <w:color w:val="525866"/>
          <w:sz w:val="22"/>
        </w:rPr>
        <w:t>Implication:</w:t>
      </w:r>
      <w:r>
        <w:rPr>
          <w:rFonts w:ascii="Calibri" w:hAnsi="Calibri"/>
          <w:color w:val="525866"/>
          <w:sz w:val="22"/>
        </w:rPr>
        <w:t xml:space="preserve"> Structural feedstock cost advantage; wider WCS and Venezuelan discounts directly expand refining margins for VLO’s Gulf Coast cokers.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Both MPC (Q1 2026 earnings call, May 5) and PSX (JP Morgan Natural Resources Conference, June 23) provided highly constructive commentary on the Q2 2026 refining environment — elevated crack spreads, strong jet/distillate demand, widening heavy crude differentials, and high utilization rates. These read-throughs are unambiguously positive for VLO’s Q2 print.</w:t>
      </w:r>
    </w:p>
    <w:p>
      <w:r>
        <w:rPr>
          <w:rFonts w:ascii="Calibri" w:hAnsi="Calibri"/>
          <w:b/>
          <w:color w:val="525866"/>
          <w:sz w:val="22"/>
        </w:rPr>
        <w:t xml:space="preserve">Note on scope: </w:t>
      </w:r>
      <w:r>
        <w:rPr>
          <w:rFonts w:ascii="Calibri" w:hAnsi="Calibri"/>
          <w:color w:val="525866"/>
          <w:sz w:val="22"/>
        </w:rPr>
        <w:t>Only commentary explicitly about Q2 2026 conditions or the forward outlook from post-Q1 earnings events is included below. Q1 2025 earnings call commentary about Q1 2025 results has been excluded per the user’s instruction.</w:t>
      </w:r>
    </w:p>
    <w:p>
      <w:pPr>
        <w:pStyle w:val="Heading3"/>
      </w:pPr>
      <w:r>
        <w:rPr>
          <w:rFonts w:ascii="Calibri" w:hAnsi="Calibri"/>
          <w:b/>
          <w:color w:val="3B4259"/>
          <w:sz w:val="24"/>
        </w:rPr>
        <w:t>Marathon Petroleum (MPC) — Q1 2026 Earnings Call (May 5, 2026)</w:t>
      </w:r>
    </w:p>
    <w:p>
      <w:r>
        <w:rPr>
          <w:rFonts w:ascii="Calibri" w:hAnsi="Calibri"/>
          <w:color w:val="525866"/>
          <w:sz w:val="22"/>
        </w:rPr>
        <w:t>MPC’s Q1 2026 earnings call provided the most detailed forward-looking commentary on Q2 2026 conditions of any peer. Key read-throughs for VLO:</w:t>
      </w:r>
    </w:p>
    <w:p>
      <w:pPr>
        <w:pStyle w:val="ListBullet"/>
        <w:ind w:left="360" w:hanging="360"/>
      </w:pPr>
      <w:r>
        <w:rPr>
          <w:rFonts w:ascii="Calibri" w:hAnsi="Calibri"/>
          <w:b/>
          <w:color w:val="525866"/>
          <w:sz w:val="22"/>
        </w:rPr>
        <w:t>Crack Spreads &amp; Refining Margins (Q2 2026 Outlook):</w:t>
      </w:r>
      <w:r>
        <w:rPr>
          <w:rFonts w:ascii="Calibri" w:hAnsi="Calibri"/>
          <w:color w:val="525866"/>
          <w:sz w:val="22"/>
        </w:rPr>
        <w:t xml:space="preserve"> MPC management described the Q2 setup as one of “incredible capture generation” driven by extreme market volatility from the Iran conflict. They estimated approximately 6 million barrels per day (~6% of global refined products capacity) has come offline during the Middle East conflict. Even if the Strait of Hormuz reopened immediately, they noted it would take time for global flows to normalize — giving U.S. refiners a sustained advantage. </w:t>
      </w:r>
    </w:p>
    <w:p>
      <w:pPr>
        <w:pStyle w:val="ListBullet"/>
        <w:ind w:left="360" w:hanging="360"/>
      </w:pPr>
      <w:r>
        <w:rPr>
          <w:rFonts w:ascii="Calibri" w:hAnsi="Calibri"/>
          <w:i/>
          <w:color w:val="525866"/>
          <w:sz w:val="22"/>
        </w:rPr>
        <w:t>VLO Read-Through:</w:t>
      </w:r>
      <w:r>
        <w:rPr>
          <w:rFonts w:ascii="Calibri" w:hAnsi="Calibri"/>
          <w:color w:val="525866"/>
          <w:sz w:val="22"/>
        </w:rPr>
        <w:t xml:space="preserve"> Directly corroborates VLO management’s Q1 call commentary that Q2 Gulf Coast indicators were already tracking well above Q1 levels. MPC’s “incredible capture” language suggests the crack spread environment through Q2 was even more favorable than consensus had modeled.</w:t>
      </w:r>
    </w:p>
    <w:p>
      <w:pPr>
        <w:pStyle w:val="ListBullet"/>
        <w:ind w:left="360" w:hanging="360"/>
      </w:pPr>
      <w:r>
        <w:rPr>
          <w:rFonts w:ascii="Calibri" w:hAnsi="Calibri"/>
          <w:b/>
          <w:color w:val="525866"/>
          <w:sz w:val="22"/>
        </w:rPr>
        <w:t>Throughput &amp; Utilization (Q2 2026):</w:t>
      </w:r>
      <w:r>
        <w:rPr>
          <w:rFonts w:ascii="Calibri" w:hAnsi="Calibri"/>
          <w:color w:val="525866"/>
          <w:sz w:val="22"/>
        </w:rPr>
        <w:t xml:space="preserve"> MPC guided for ~94% utilization in Q2, having pulled forward ~40% of full-year planned maintenance into Q1 to maximize Q2 run rates. They reported the lowest unplanned downtime in Q1 and expected that performance to be sustainable through the year. </w:t>
      </w:r>
    </w:p>
    <w:p>
      <w:pPr>
        <w:pStyle w:val="ListBullet"/>
        <w:ind w:left="360" w:hanging="360"/>
      </w:pPr>
      <w:r>
        <w:rPr>
          <w:rFonts w:ascii="Calibri" w:hAnsi="Calibri"/>
          <w:i/>
          <w:color w:val="525866"/>
          <w:sz w:val="22"/>
        </w:rPr>
        <w:t>VLO Read-Through:</w:t>
      </w:r>
      <w:r>
        <w:rPr>
          <w:rFonts w:ascii="Calibri" w:hAnsi="Calibri"/>
          <w:color w:val="525866"/>
          <w:sz w:val="22"/>
        </w:rPr>
        <w:t xml:space="preserve"> High utilization across the peer group is a positive signal for VLO’s throughput, though VLO faces a specific headwind from Port Arthur’s diesel hydrotreater outage. MPC’s ability to run at high rates despite the macro backdrop suggests the system-wide operational environment was favorable.</w:t>
      </w:r>
    </w:p>
    <w:p>
      <w:pPr>
        <w:pStyle w:val="ListBullet"/>
        <w:ind w:left="360" w:hanging="360"/>
      </w:pPr>
      <w:r>
        <w:rPr>
          <w:rFonts w:ascii="Calibri" w:hAnsi="Calibri"/>
          <w:b/>
          <w:color w:val="525866"/>
          <w:sz w:val="22"/>
        </w:rPr>
        <w:t>Jet Fuel &amp; Distillate Demand (Q2 2026):</w:t>
      </w:r>
      <w:r>
        <w:rPr>
          <w:rFonts w:ascii="Calibri" w:hAnsi="Calibri"/>
          <w:color w:val="525866"/>
          <w:sz w:val="22"/>
        </w:rPr>
        <w:t xml:space="preserve"> MPC brought 30,000+ bpd of incremental jet production capacity online at Garyville in March, describing the timing as “absolute perfect.” They reported strong jet demand across L.A., Gulf Coast, and Mid-Con Chicago, with “no decline in jet demand” observed. Jet/ULSD spreads were expected to persist. </w:t>
      </w:r>
    </w:p>
    <w:p>
      <w:pPr>
        <w:pStyle w:val="ListBullet"/>
        <w:ind w:left="360" w:hanging="360"/>
      </w:pPr>
      <w:r>
        <w:rPr>
          <w:rFonts w:ascii="Calibri" w:hAnsi="Calibri"/>
          <w:i/>
          <w:color w:val="525866"/>
          <w:sz w:val="22"/>
        </w:rPr>
        <w:t>VLO Read-Through:</w:t>
      </w:r>
      <w:r>
        <w:rPr>
          <w:rFonts w:ascii="Calibri" w:hAnsi="Calibri"/>
          <w:color w:val="525866"/>
          <w:sz w:val="22"/>
        </w:rPr>
        <w:t xml:space="preserve"> Highly positive for VLO, which described jet as “incredibly short” and was actively converting refineries to jet production mode. Strong jet demand and elevated jet/ULSD spreads directly benefit VLO’s Gulf Coast system, which achieved record jet yield in March.</w:t>
      </w:r>
    </w:p>
    <w:p>
      <w:pPr>
        <w:pStyle w:val="ListBullet"/>
        <w:ind w:left="360" w:hanging="360"/>
      </w:pPr>
      <w:r>
        <w:rPr>
          <w:rFonts w:ascii="Calibri" w:hAnsi="Calibri"/>
          <w:b/>
          <w:color w:val="525866"/>
          <w:sz w:val="22"/>
        </w:rPr>
        <w:t>Heavy Crude Differentials &amp; Sourcing (Q2 2026):</w:t>
      </w:r>
      <w:r>
        <w:rPr>
          <w:rFonts w:ascii="Calibri" w:hAnsi="Calibri"/>
          <w:color w:val="525866"/>
          <w:sz w:val="22"/>
        </w:rPr>
        <w:t xml:space="preserve"> MPC more than doubled its U.S. Gulf Coast Canadian volumes in Q2 in response to rising waterborne crude premiums, with April expected to be a record month for Canadian volumes. They purchased 5 Venezuelan crude cargoes in Q1 and ~10M barrels of SPR crude from the DOE for Q2 delivery. WCS differentials were described as “quite attractive.” </w:t>
      </w:r>
    </w:p>
    <w:p>
      <w:pPr>
        <w:pStyle w:val="ListBullet"/>
        <w:ind w:left="360" w:hanging="360"/>
      </w:pPr>
      <w:r>
        <w:rPr>
          <w:rFonts w:ascii="Calibri" w:hAnsi="Calibri"/>
          <w:i/>
          <w:color w:val="525866"/>
          <w:sz w:val="22"/>
        </w:rPr>
        <w:t>VLO Read-Through:</w:t>
      </w:r>
      <w:r>
        <w:rPr>
          <w:rFonts w:ascii="Calibri" w:hAnsi="Calibri"/>
          <w:color w:val="525866"/>
          <w:sz w:val="22"/>
        </w:rPr>
        <w:t xml:space="preserve"> Confirms the heavy sour differential environment was favorable in Q2. VLO’s high-complexity Gulf Coast system is specifically configured to process heavy, high-sulfur crudes — wider WCS and Venezuelan discounts are a direct margin tailwind.</w:t>
      </w:r>
    </w:p>
    <w:p>
      <w:pPr>
        <w:pStyle w:val="ListBullet"/>
        <w:ind w:left="360" w:hanging="360"/>
      </w:pPr>
      <w:r>
        <w:rPr>
          <w:rFonts w:ascii="Calibri" w:hAnsi="Calibri"/>
          <w:b/>
          <w:color w:val="525866"/>
          <w:sz w:val="22"/>
        </w:rPr>
        <w:t>Derivatives / Mark-to-Market Timing (Q2 2026):</w:t>
      </w:r>
      <w:r>
        <w:rPr>
          <w:rFonts w:ascii="Calibri" w:hAnsi="Calibri"/>
          <w:color w:val="525866"/>
          <w:sz w:val="22"/>
        </w:rPr>
        <w:t xml:space="preserve"> MPC flagged ~$500M of unrealized derivative losses in Q1 that were expected to unwind in Q2 as physical markets came into alignment with futures. They noted the “disconnect between paper and physical” drove Q1 headwinds, with Q2 expected to see these reverse. </w:t>
      </w:r>
    </w:p>
    <w:p>
      <w:pPr>
        <w:pStyle w:val="ListBullet"/>
        <w:ind w:left="360" w:hanging="360"/>
      </w:pPr>
      <w:r>
        <w:rPr>
          <w:rFonts w:ascii="Calibri" w:hAnsi="Calibri"/>
          <w:i/>
          <w:color w:val="525866"/>
          <w:sz w:val="22"/>
        </w:rPr>
        <w:t>VLO Read-Through:</w:t>
      </w:r>
      <w:r>
        <w:rPr>
          <w:rFonts w:ascii="Calibri" w:hAnsi="Calibri"/>
          <w:color w:val="525866"/>
          <w:sz w:val="22"/>
        </w:rPr>
        <w:t xml:space="preserve"> VLO management made similar comments about steep backwardation and capture rate complexity. If the same dynamic played out at VLO, Q2 capture rates could benefit from the unwind of Q1 mark-to-market headwinds — a potential positive surprise.</w:t>
      </w:r>
    </w:p>
    <w:p>
      <w:pPr>
        <w:pStyle w:val="ListBullet"/>
        <w:ind w:left="360" w:hanging="360"/>
      </w:pPr>
      <w:r>
        <w:rPr>
          <w:rFonts w:ascii="Calibri" w:hAnsi="Calibri"/>
          <w:b/>
          <w:color w:val="525866"/>
          <w:sz w:val="22"/>
        </w:rPr>
        <w:t>Mid-Continent Market (Q2 2026):</w:t>
      </w:r>
      <w:r>
        <w:rPr>
          <w:rFonts w:ascii="Calibri" w:hAnsi="Calibri"/>
          <w:color w:val="525866"/>
          <w:sz w:val="22"/>
        </w:rPr>
        <w:t xml:space="preserve"> MPC described the Mid-Con as “the best market” in their system, with “extreme tightness on gas and diesel inventories” driven by strong demand and unplanned maintenance in the region. </w:t>
      </w:r>
    </w:p>
    <w:p>
      <w:pPr>
        <w:pStyle w:val="ListBullet"/>
        <w:ind w:left="360" w:hanging="360"/>
      </w:pPr>
      <w:r>
        <w:rPr>
          <w:rFonts w:ascii="Calibri" w:hAnsi="Calibri"/>
          <w:i/>
          <w:color w:val="525866"/>
          <w:sz w:val="22"/>
        </w:rPr>
        <w:t>VLO Read-Through:</w:t>
      </w:r>
      <w:r>
        <w:rPr>
          <w:rFonts w:ascii="Calibri" w:hAnsi="Calibri"/>
          <w:color w:val="525866"/>
          <w:sz w:val="22"/>
        </w:rPr>
        <w:t xml:space="preserve"> Positive for VLO’s Mid-Continent segment (450–470 Mbpd guided throughput). Tight Mid-Con inventories support regional crack spreads and product premiums.</w:t>
      </w:r>
    </w:p>
    <w:p>
      <w:pPr>
        <w:pStyle w:val="Heading3"/>
      </w:pPr>
      <w:r>
        <w:rPr>
          <w:rFonts w:ascii="Calibri" w:hAnsi="Calibri"/>
          <w:b/>
          <w:color w:val="3B4259"/>
          <w:sz w:val="24"/>
        </w:rPr>
        <w:t>Phillips 66 (PSX) — JP Morgan Natural Resources Conference (June 23, 2026)</w:t>
      </w:r>
    </w:p>
    <w:p>
      <w:r>
        <w:rPr>
          <w:rFonts w:ascii="Calibri" w:hAnsi="Calibri"/>
          <w:color w:val="525866"/>
          <w:sz w:val="22"/>
        </w:rPr>
        <w:t>PSX management provided forward-looking commentary at the JP Morgan conference in late June, covering the Q2 2026 environment and H2 2026 outlook. Key read-throughs for VLO:</w:t>
      </w:r>
    </w:p>
    <w:p>
      <w:pPr>
        <w:pStyle w:val="ListBullet"/>
        <w:ind w:left="360" w:hanging="360"/>
      </w:pPr>
      <w:r>
        <w:rPr>
          <w:rFonts w:ascii="Calibri" w:hAnsi="Calibri"/>
          <w:b/>
          <w:color w:val="525866"/>
          <w:sz w:val="22"/>
        </w:rPr>
        <w:t>Refining Margins &amp; Crack Spreads (Q2 / H2 2026 Outlook):</w:t>
      </w:r>
      <w:r>
        <w:rPr>
          <w:rFonts w:ascii="Calibri" w:hAnsi="Calibri"/>
          <w:color w:val="525866"/>
          <w:sz w:val="22"/>
        </w:rPr>
        <w:t xml:space="preserve"> PSX described refined product margins as “staying healthy” and “hanging in there” even as crude prices came off, with margin indicators “strengthening.” They characterized the combination of lower crude prices and tight global refining capacity as “very constructive for refining margins in the near to medium term.” Russia’s refining complex was cited as taking “significant hits” and China’s ramp-back was uncertain — both structural tailwinds for U.S. refiners. </w:t>
      </w:r>
    </w:p>
    <w:p>
      <w:pPr>
        <w:pStyle w:val="ListBullet"/>
        <w:ind w:left="360" w:hanging="360"/>
      </w:pPr>
      <w:r>
        <w:rPr>
          <w:rFonts w:ascii="Calibri" w:hAnsi="Calibri"/>
          <w:i/>
          <w:color w:val="525866"/>
          <w:sz w:val="22"/>
        </w:rPr>
        <w:t>VLO Read-Through:</w:t>
      </w:r>
      <w:r>
        <w:rPr>
          <w:rFonts w:ascii="Calibri" w:hAnsi="Calibri"/>
          <w:color w:val="525866"/>
          <w:sz w:val="22"/>
        </w:rPr>
        <w:t xml:space="preserve"> Directly corroborates the constructive Q2 margin environment. PSX’s commentary that margins were strengthening even as crude came off is particularly relevant for VLO’s Q2 capture rates, as lower crude costs with stable product prices expand the crack spread.</w:t>
      </w:r>
    </w:p>
    <w:p>
      <w:pPr>
        <w:pStyle w:val="ListBullet"/>
        <w:ind w:left="360" w:hanging="360"/>
      </w:pPr>
      <w:r>
        <w:rPr>
          <w:rFonts w:ascii="Calibri" w:hAnsi="Calibri"/>
          <w:b/>
          <w:color w:val="525866"/>
          <w:sz w:val="22"/>
        </w:rPr>
        <w:t>Throughput (Q2 2026):</w:t>
      </w:r>
      <w:r>
        <w:rPr>
          <w:rFonts w:ascii="Calibri" w:hAnsi="Calibri"/>
          <w:color w:val="525866"/>
          <w:sz w:val="22"/>
        </w:rPr>
        <w:t xml:space="preserve"> PSX stated they were “able to run at extraordinary rates” despite global disruptions, with the enhanced Pinnacle asset seeing “more throughput than anticipated.” </w:t>
      </w:r>
    </w:p>
    <w:p>
      <w:pPr>
        <w:pStyle w:val="ListBullet"/>
        <w:ind w:left="360" w:hanging="360"/>
      </w:pPr>
      <w:r>
        <w:rPr>
          <w:rFonts w:ascii="Calibri" w:hAnsi="Calibri"/>
          <w:i/>
          <w:color w:val="525866"/>
          <w:sz w:val="22"/>
        </w:rPr>
        <w:t>VLO Read-Through:</w:t>
      </w:r>
      <w:r>
        <w:rPr>
          <w:rFonts w:ascii="Calibri" w:hAnsi="Calibri"/>
          <w:color w:val="525866"/>
          <w:sz w:val="22"/>
        </w:rPr>
        <w:t xml:space="preserve"> High peer utilization rates confirm the operational environment was favorable. VLO’s throughput headwind is Port Arthur-specific, not system-wide.</w:t>
      </w:r>
    </w:p>
    <w:p>
      <w:pPr>
        <w:pStyle w:val="ListBullet"/>
        <w:ind w:left="360" w:hanging="360"/>
      </w:pPr>
      <w:r>
        <w:rPr>
          <w:rFonts w:ascii="Calibri" w:hAnsi="Calibri"/>
          <w:b/>
          <w:color w:val="525866"/>
          <w:sz w:val="22"/>
        </w:rPr>
        <w:t>Jet Fuel Demand (Q2 2026):</w:t>
      </w:r>
      <w:r>
        <w:rPr>
          <w:rFonts w:ascii="Calibri" w:hAnsi="Calibri"/>
          <w:color w:val="525866"/>
          <w:sz w:val="22"/>
        </w:rPr>
        <w:t xml:space="preserve"> PSX highlighted “strong jet demand” and noted their Rodeo facility was producing ~10,000 bpd of neat SAF (~18,000–19,000 bpd blended). </w:t>
      </w:r>
    </w:p>
    <w:p>
      <w:pPr>
        <w:pStyle w:val="ListBullet"/>
        <w:ind w:left="360" w:hanging="360"/>
      </w:pPr>
      <w:r>
        <w:rPr>
          <w:rFonts w:ascii="Calibri" w:hAnsi="Calibri"/>
          <w:i/>
          <w:color w:val="525866"/>
          <w:sz w:val="22"/>
        </w:rPr>
        <w:t>VLO Read-Through:</w:t>
      </w:r>
      <w:r>
        <w:rPr>
          <w:rFonts w:ascii="Calibri" w:hAnsi="Calibri"/>
          <w:color w:val="525866"/>
          <w:sz w:val="22"/>
        </w:rPr>
        <w:t xml:space="preserve"> Confirms the jet demand environment remained strong through Q2. VLO’s ability to maximize jet yield (record 30%+ of distillates in March) is a direct margin tailwind.</w:t>
      </w:r>
    </w:p>
    <w:p>
      <w:pPr>
        <w:pStyle w:val="ListBullet"/>
        <w:ind w:left="360" w:hanging="360"/>
      </w:pPr>
      <w:r>
        <w:rPr>
          <w:rFonts w:ascii="Calibri" w:hAnsi="Calibri"/>
          <w:b/>
          <w:color w:val="525866"/>
          <w:sz w:val="22"/>
        </w:rPr>
        <w:t>Heavy Crude Differentials (Q2 / H2 2026):</w:t>
      </w:r>
      <w:r>
        <w:rPr>
          <w:rFonts w:ascii="Calibri" w:hAnsi="Calibri"/>
          <w:color w:val="525866"/>
          <w:sz w:val="22"/>
        </w:rPr>
        <w:t xml:space="preserve"> PSX noted that WCS differentials had “tightened up” temporarily due to Canadian production disruptions (fires and floods) but expected these to “work themselves out” and differentials to “widen back out.” They also noted that incoming Middle Eastern crude would “put even more pressure on those differentials.” </w:t>
      </w:r>
    </w:p>
    <w:p>
      <w:pPr>
        <w:pStyle w:val="ListBullet"/>
        <w:ind w:left="360" w:hanging="360"/>
      </w:pPr>
      <w:r>
        <w:rPr>
          <w:rFonts w:ascii="Calibri" w:hAnsi="Calibri"/>
          <w:i/>
          <w:color w:val="525866"/>
          <w:sz w:val="22"/>
        </w:rPr>
        <w:t>VLO Read-Through:</w:t>
      </w:r>
      <w:r>
        <w:rPr>
          <w:rFonts w:ascii="Calibri" w:hAnsi="Calibri"/>
          <w:color w:val="525866"/>
          <w:sz w:val="22"/>
        </w:rPr>
        <w:t xml:space="preserve"> The temporary WCS tightening in Q2 (due to Canadian wildfires/floods) is a modest headwind for VLO’s heavy crude cost advantage, but PSX’s expectation of re-widening in H2 is constructive for the Q3 outlook. The Middle Eastern crude influx is a structural tailwind for VLO’s coker-heavy Gulf Coast system.</w:t>
      </w:r>
    </w:p>
    <w:p>
      <w:pPr>
        <w:pStyle w:val="ListBullet"/>
        <w:ind w:left="360" w:hanging="360"/>
      </w:pPr>
      <w:r>
        <w:rPr>
          <w:rFonts w:ascii="Calibri" w:hAnsi="Calibri"/>
          <w:b/>
          <w:color w:val="525866"/>
          <w:sz w:val="22"/>
        </w:rPr>
        <w:t>Mark-to-Market / Q1 Headwinds Unwinding (Q2 2026):</w:t>
      </w:r>
      <w:r>
        <w:rPr>
          <w:rFonts w:ascii="Calibri" w:hAnsi="Calibri"/>
          <w:color w:val="525866"/>
          <w:sz w:val="22"/>
        </w:rPr>
        <w:t xml:space="preserve"> PSX noted that Q1 results were impacted by “mark-to-market headwinds” from a “disconnect between paper and physical,” and that these were “coming into better alignment” as prices came off. They expected “more of that to clear up as we sell down inventories later in the year.” </w:t>
      </w:r>
    </w:p>
    <w:p>
      <w:pPr>
        <w:pStyle w:val="ListBullet"/>
        <w:ind w:left="360" w:hanging="360"/>
      </w:pPr>
      <w:r>
        <w:rPr>
          <w:rFonts w:ascii="Calibri" w:hAnsi="Calibri"/>
          <w:i/>
          <w:color w:val="525866"/>
          <w:sz w:val="22"/>
        </w:rPr>
        <w:t>VLO Read-Through:</w:t>
      </w:r>
      <w:r>
        <w:rPr>
          <w:rFonts w:ascii="Calibri" w:hAnsi="Calibri"/>
          <w:color w:val="525866"/>
          <w:sz w:val="22"/>
        </w:rPr>
        <w:t xml:space="preserve"> Consistent with MPC’s commentary. If VLO experienced similar Q1 mark-to-market headwinds, Q2 capture rates should benefit from the unwind — a potential positive surprise vs. consensus.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senior executives since Q1 earnings. The only notable activity is Eric Fisher’s three tranches of 10b5-1 planned sales (7,500 shares each in May, June, and June) — these are pre-scheduled and directly tied to his announced retirement effective ~July 1, 2026. Director activity was limited to routine annual stock unit grants and associated tax withholding. Nothing in the insider data signals unusual conviction or concern.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Fisher, Eric A.</w:t>
            </w:r>
          </w:p>
        </w:tc>
        <w:tc>
          <w:tcPr>
            <w:tcW w:type="dxa" w:w="1440"/>
          </w:tcPr>
          <w:p>
            <w:r>
              <w:rPr>
                <w:rFonts w:ascii="Calibri" w:hAnsi="Calibri"/>
                <w:sz w:val="22"/>
              </w:rPr>
              <w:t>SVP, Product Supply, Trading &amp; Wholesale</w:t>
            </w:r>
          </w:p>
        </w:tc>
        <w:tc>
          <w:tcPr>
            <w:tcW w:type="dxa" w:w="1440"/>
          </w:tcPr>
          <w:p>
            <w:r>
              <w:rPr>
                <w:rFonts w:ascii="Calibri" w:hAnsi="Calibri"/>
                <w:sz w:val="22"/>
              </w:rPr>
              <w:t>Open Market Sale</w:t>
            </w:r>
          </w:p>
        </w:tc>
        <w:tc>
          <w:tcPr>
            <w:tcW w:type="dxa" w:w="1440"/>
          </w:tcPr>
          <w:p>
            <w:r>
              <w:rPr>
                <w:rFonts w:ascii="Calibri" w:hAnsi="Calibri"/>
                <w:sz w:val="22"/>
              </w:rPr>
              <w:t>7,500</w:t>
            </w:r>
          </w:p>
        </w:tc>
        <w:tc>
          <w:tcPr>
            <w:tcW w:type="dxa" w:w="1440"/>
          </w:tcPr>
          <w:p>
            <w:r>
              <w:rPr>
                <w:rFonts w:ascii="Calibri" w:hAnsi="Calibri"/>
                <w:sz w:val="22"/>
              </w:rPr>
              <w:t>Jun 29, 2026</w:t>
            </w:r>
          </w:p>
        </w:tc>
        <w:tc>
          <w:tcPr>
            <w:tcW w:type="dxa" w:w="1440"/>
          </w:tcPr>
          <w:p>
            <w:r>
              <w:rPr>
                <w:rFonts w:ascii="Calibri" w:hAnsi="Calibri"/>
                <w:sz w:val="22"/>
              </w:rPr>
              <w:t>Discretionary sale; not on 10b5-1 plan; retirement effective ~Jul 1, 2026 — likely liquidation ahead of departure</w:t>
            </w:r>
          </w:p>
        </w:tc>
      </w:tr>
      <w:tr>
        <w:tc>
          <w:tcPr>
            <w:tcW w:type="dxa" w:w="1440"/>
          </w:tcPr>
          <w:p>
            <w:r>
              <w:rPr>
                <w:rFonts w:ascii="Calibri" w:hAnsi="Calibri"/>
                <w:sz w:val="22"/>
              </w:rPr>
              <w:t>Fisher, Eric A.</w:t>
            </w:r>
          </w:p>
        </w:tc>
        <w:tc>
          <w:tcPr>
            <w:tcW w:type="dxa" w:w="1440"/>
          </w:tcPr>
          <w:p>
            <w:r>
              <w:rPr>
                <w:rFonts w:ascii="Calibri" w:hAnsi="Calibri"/>
                <w:sz w:val="22"/>
              </w:rPr>
              <w:t>SVP, Product Supply, Trading &amp; Wholesale</w:t>
            </w:r>
          </w:p>
        </w:tc>
        <w:tc>
          <w:tcPr>
            <w:tcW w:type="dxa" w:w="1440"/>
          </w:tcPr>
          <w:p>
            <w:r>
              <w:rPr>
                <w:rFonts w:ascii="Calibri" w:hAnsi="Calibri"/>
                <w:sz w:val="22"/>
              </w:rPr>
              <w:t>10b5-1 Planned Sale</w:t>
            </w:r>
          </w:p>
        </w:tc>
        <w:tc>
          <w:tcPr>
            <w:tcW w:type="dxa" w:w="1440"/>
          </w:tcPr>
          <w:p>
            <w:r>
              <w:rPr>
                <w:rFonts w:ascii="Calibri" w:hAnsi="Calibri"/>
                <w:sz w:val="22"/>
              </w:rPr>
              <w:t>7,500</w:t>
            </w:r>
          </w:p>
        </w:tc>
        <w:tc>
          <w:tcPr>
            <w:tcW w:type="dxa" w:w="1440"/>
          </w:tcPr>
          <w:p>
            <w:r>
              <w:rPr>
                <w:rFonts w:ascii="Calibri" w:hAnsi="Calibri"/>
                <w:sz w:val="22"/>
              </w:rPr>
              <w:t>Jun 18, 2026</w:t>
            </w:r>
          </w:p>
        </w:tc>
        <w:tc>
          <w:tcPr>
            <w:tcW w:type="dxa" w:w="1440"/>
          </w:tcPr>
          <w:p>
            <w:r>
              <w:rPr>
                <w:rFonts w:ascii="Calibri" w:hAnsi="Calibri"/>
                <w:sz w:val="22"/>
              </w:rPr>
              <w:t>Pre-scheduled 10b5-1 plan; retirement-driven; not a discretionary signal</w:t>
            </w:r>
          </w:p>
        </w:tc>
      </w:tr>
      <w:tr>
        <w:tc>
          <w:tcPr>
            <w:tcW w:type="dxa" w:w="1440"/>
          </w:tcPr>
          <w:p>
            <w:r>
              <w:rPr>
                <w:rFonts w:ascii="Calibri" w:hAnsi="Calibri"/>
                <w:sz w:val="22"/>
              </w:rPr>
              <w:t>Fisher, Eric A.</w:t>
            </w:r>
          </w:p>
        </w:tc>
        <w:tc>
          <w:tcPr>
            <w:tcW w:type="dxa" w:w="1440"/>
          </w:tcPr>
          <w:p>
            <w:r>
              <w:rPr>
                <w:rFonts w:ascii="Calibri" w:hAnsi="Calibri"/>
                <w:sz w:val="22"/>
              </w:rPr>
              <w:t>SVP, Product Supply, Trading &amp; Wholesale</w:t>
            </w:r>
          </w:p>
        </w:tc>
        <w:tc>
          <w:tcPr>
            <w:tcW w:type="dxa" w:w="1440"/>
          </w:tcPr>
          <w:p>
            <w:r>
              <w:rPr>
                <w:rFonts w:ascii="Calibri" w:hAnsi="Calibri"/>
                <w:sz w:val="22"/>
              </w:rPr>
              <w:t>10b5-1 Planned Sale</w:t>
            </w:r>
          </w:p>
        </w:tc>
        <w:tc>
          <w:tcPr>
            <w:tcW w:type="dxa" w:w="1440"/>
          </w:tcPr>
          <w:p>
            <w:r>
              <w:rPr>
                <w:rFonts w:ascii="Calibri" w:hAnsi="Calibri"/>
                <w:sz w:val="22"/>
              </w:rPr>
              <w:t>7,500</w:t>
            </w:r>
          </w:p>
        </w:tc>
        <w:tc>
          <w:tcPr>
            <w:tcW w:type="dxa" w:w="1440"/>
          </w:tcPr>
          <w:p>
            <w:r>
              <w:rPr>
                <w:rFonts w:ascii="Calibri" w:hAnsi="Calibri"/>
                <w:sz w:val="22"/>
              </w:rPr>
              <w:t>May 18, 2026</w:t>
            </w:r>
          </w:p>
        </w:tc>
        <w:tc>
          <w:tcPr>
            <w:tcW w:type="dxa" w:w="1440"/>
          </w:tcPr>
          <w:p>
            <w:r>
              <w:rPr>
                <w:rFonts w:ascii="Calibri" w:hAnsi="Calibri"/>
                <w:sz w:val="22"/>
              </w:rPr>
              <w:t>Pre-scheduled 10b5-1 plan; retirement-driven; not a discretionary signal</w:t>
            </w:r>
          </w:p>
        </w:tc>
      </w:tr>
      <w:tr>
        <w:tc>
          <w:tcPr>
            <w:tcW w:type="dxa" w:w="1440"/>
          </w:tcPr>
          <w:p>
            <w:r>
              <w:rPr>
                <w:rFonts w:ascii="Calibri" w:hAnsi="Calibri"/>
                <w:sz w:val="22"/>
              </w:rPr>
              <w:t>Multiple Directors (8 individuals)</w:t>
            </w:r>
          </w:p>
        </w:tc>
        <w:tc>
          <w:tcPr>
            <w:tcW w:type="dxa" w:w="1440"/>
          </w:tcPr>
          <w:p>
            <w:r>
              <w:rPr>
                <w:rFonts w:ascii="Calibri" w:hAnsi="Calibri"/>
                <w:sz w:val="22"/>
              </w:rPr>
              <w:t>Non-Employee Directors</w:t>
            </w:r>
          </w:p>
        </w:tc>
        <w:tc>
          <w:tcPr>
            <w:tcW w:type="dxa" w:w="1440"/>
          </w:tcPr>
          <w:p>
            <w:r>
              <w:rPr>
                <w:rFonts w:ascii="Calibri" w:hAnsi="Calibri"/>
                <w:sz w:val="22"/>
              </w:rPr>
              <w:t>Annual Stock Unit Grant (Award)</w:t>
            </w:r>
          </w:p>
        </w:tc>
        <w:tc>
          <w:tcPr>
            <w:tcW w:type="dxa" w:w="1440"/>
          </w:tcPr>
          <w:p>
            <w:r>
              <w:rPr>
                <w:rFonts w:ascii="Calibri" w:hAnsi="Calibri"/>
                <w:sz w:val="22"/>
              </w:rPr>
              <w:t>939 units each</w:t>
            </w:r>
          </w:p>
        </w:tc>
        <w:tc>
          <w:tcPr>
            <w:tcW w:type="dxa" w:w="1440"/>
          </w:tcPr>
          <w:p>
            <w:r>
              <w:rPr>
                <w:rFonts w:ascii="Calibri" w:hAnsi="Calibri"/>
                <w:sz w:val="22"/>
              </w:rPr>
              <w:t>May 7, 2026</w:t>
            </w:r>
          </w:p>
        </w:tc>
        <w:tc>
          <w:tcPr>
            <w:tcW w:type="dxa" w:w="1440"/>
          </w:tcPr>
          <w:p>
            <w:r>
              <w:rPr>
                <w:rFonts w:ascii="Calibri" w:hAnsi="Calibri"/>
                <w:sz w:val="22"/>
              </w:rPr>
              <w:t>Routine annual equity compensation ($200K value per director); vests at 2027 annual meeting with 1-year hold; not a market signal</w:t>
            </w:r>
          </w:p>
        </w:tc>
      </w:tr>
      <w:tr>
        <w:tc>
          <w:tcPr>
            <w:tcW w:type="dxa" w:w="1440"/>
          </w:tcPr>
          <w:p>
            <w:r>
              <w:rPr>
                <w:rFonts w:ascii="Calibri" w:hAnsi="Calibri"/>
                <w:sz w:val="22"/>
              </w:rPr>
              <w:t>Multiple Directors (7 individuals)</w:t>
            </w:r>
          </w:p>
        </w:tc>
        <w:tc>
          <w:tcPr>
            <w:tcW w:type="dxa" w:w="1440"/>
          </w:tcPr>
          <w:p>
            <w:r>
              <w:rPr>
                <w:rFonts w:ascii="Calibri" w:hAnsi="Calibri"/>
                <w:sz w:val="22"/>
              </w:rPr>
              <w:t>Non-Employee Directors</w:t>
            </w:r>
          </w:p>
        </w:tc>
        <w:tc>
          <w:tcPr>
            <w:tcW w:type="dxa" w:w="1440"/>
          </w:tcPr>
          <w:p>
            <w:r>
              <w:rPr>
                <w:rFonts w:ascii="Calibri" w:hAnsi="Calibri"/>
                <w:sz w:val="22"/>
              </w:rPr>
              <w:t>Stock Unit Conversion / Tax Withholding</w:t>
            </w:r>
          </w:p>
        </w:tc>
        <w:tc>
          <w:tcPr>
            <w:tcW w:type="dxa" w:w="1440"/>
          </w:tcPr>
          <w:p>
            <w:r>
              <w:rPr>
                <w:rFonts w:ascii="Calibri" w:hAnsi="Calibri"/>
                <w:sz w:val="22"/>
              </w:rPr>
              <w:t>1,381 acquired / 304–511 withheld per director</w:t>
            </w:r>
          </w:p>
        </w:tc>
        <w:tc>
          <w:tcPr>
            <w:tcW w:type="dxa" w:w="1440"/>
          </w:tcPr>
          <w:p>
            <w:r>
              <w:rPr>
                <w:rFonts w:ascii="Calibri" w:hAnsi="Calibri"/>
                <w:sz w:val="22"/>
              </w:rPr>
              <w:t>May 6, 2026</w:t>
            </w:r>
          </w:p>
        </w:tc>
        <w:tc>
          <w:tcPr>
            <w:tcW w:type="dxa" w:w="1440"/>
          </w:tcPr>
          <w:p>
            <w:r>
              <w:rPr>
                <w:rFonts w:ascii="Calibri" w:hAnsi="Calibri"/>
                <w:sz w:val="22"/>
              </w:rPr>
              <w:t>Routine RSU vesting and associated tax withholding; not a discretionary transaction</w:t>
            </w:r>
          </w:p>
        </w:tc>
      </w:tr>
    </w:tbl>
    <w:p>
      <w:r>
        <w:rPr>
          <w:rFonts w:ascii="Calibri" w:hAnsi="Calibri"/>
          <w:color w:val="525866"/>
          <w:sz w:val="22"/>
        </w:rPr>
        <w:t>Source: SEC Form 4 filings via Insider Transaction Data. Open-market buys (code P) and sells (code S) plus 10b5-1 plan initiations only. Director stock unit grants (code A) and RSU conversions (code M) included for completeness but are not market signals.</w:t>
      </w:r>
    </w:p>
    <w:p>
      <w:r>
        <w:rPr>
          <w:rFonts w:ascii="Calibri" w:hAnsi="Calibri"/>
          <w:b/>
          <w:color w:val="525866"/>
          <w:sz w:val="22"/>
        </w:rPr>
        <w:t xml:space="preserve">Assessment: </w:t>
      </w:r>
      <w:r>
        <w:rPr>
          <w:rFonts w:ascii="Calibri" w:hAnsi="Calibri"/>
          <w:color w:val="525866"/>
          <w:sz w:val="22"/>
        </w:rPr>
        <w:t>The absence of any open-market buys from senior management is notable given the stock’s strong run, but is not unusual for a company that is actively returning capital via buybacks ($6.4B authorized). Fisher’s sales are entirely explained by his retirement and are not a negative signal. No clustered discretionary selling from the CEO, CFO, or other operating executives — the insider picture is neutral.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