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Valero Energy Corporation (VLO)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Valero Energy Corporation</w:t>
            </w:r>
          </w:p>
        </w:tc>
      </w:tr>
      <w:tr>
        <w:tc>
          <w:tcPr>
            <w:tcW w:type="dxa" w:w="4320"/>
          </w:tcPr>
          <w:p>
            <w:r>
              <w:rPr>
                <w:rFonts w:ascii="Calibri" w:hAnsi="Calibri"/>
                <w:b/>
                <w:sz w:val="22"/>
              </w:rPr>
              <w:t>Ticker</w:t>
            </w:r>
          </w:p>
        </w:tc>
        <w:tc>
          <w:tcPr>
            <w:tcW w:type="dxa" w:w="4320"/>
          </w:tcPr>
          <w:p>
            <w:r>
              <w:rPr>
                <w:rFonts w:ascii="Calibri" w:hAnsi="Calibri"/>
                <w:sz w:val="22"/>
              </w:rPr>
              <w:t>NYSE: VLO</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Conference call at 10:00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XLE (Energy Select Sector SPDR Fund)</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strongly bullish — consensus has been revised sharply higher since the Q1 print, the bar is high but the macro tailwinds (Iran-driven supply tightness, record crack spreads, strong jet demand) appear durable enough to support another beat, with the single biggest swing factor being the pace of Port Arthur diesel hydrotreater recovery and its impact on capture rates.</w:t>
      </w:r>
    </w:p>
    <w:p>
      <w:r>
        <w:rPr>
          <w:rFonts w:ascii="Calibri" w:hAnsi="Calibri"/>
          <w:color w:val="525866"/>
          <w:sz w:val="22"/>
        </w:rPr>
        <w:t xml:space="preserve">Heading into Q2 2026, Valero’s setup is as constructive as it has been in years. The Iran conflict has created a structurally tight global refined products market — distillate inventories at five-year lows, total light product inventories drawing sharply since January, and management explicitly stating that “demand significantly outpaces supply.” Consensus EPS for Q2 2026 has surged to ~$10.08 from ~$3.17 at the time of the Q1 print, reflecting the market’s belated recognition of the margin environment, and the estimate revision trajectory has been one of the sharpest in the sector. Management’s tone on the Q1 call was highly confident — they guided Gulf Coast throughput of 1.69–1.74 Mbpd (reflecting Port Arthur reduced rates), refining cash opex of ~$4.85/bbl, and renewable diesel sales of ~320 million gallons, while noting that </w:t>
      </w:r>
    </w:p>
    <w:p>
      <w:r>
        <w:rPr>
          <w:rFonts w:ascii="Calibri" w:hAnsi="Calibri"/>
          <w:color w:val="525866"/>
          <w:sz w:val="22"/>
        </w:rPr>
        <w:t xml:space="preserve">Q2 Gulf Coast margin indicators were already tracking well above Q1 levels. </w:t>
      </w:r>
    </w:p>
    <w:p>
      <w:r>
        <w:rPr>
          <w:rFonts w:ascii="Calibri" w:hAnsi="Calibri"/>
          <w:color w:val="525866"/>
          <w:sz w:val="22"/>
        </w:rPr>
        <w:t xml:space="preserve">The stock has re-rated dramatically — up ~19% since the Q1 print and ~108% over the trailing twelve months — driven almost entirely by earnings revisions rather than multiple expansion (NTM EV/EBITDA has actually compressed from ~8.6x to ~7.1x over six months). The key wildcard is the </w:t>
      </w:r>
    </w:p>
    <w:p>
      <w:r>
        <w:rPr>
          <w:rFonts w:ascii="Calibri" w:hAnsi="Calibri"/>
          <w:b/>
          <w:color w:val="525866"/>
          <w:sz w:val="22"/>
        </w:rPr>
        <w:t>Port Arthur diesel hydrotreater</w:t>
      </w:r>
      <w:r>
        <w:rPr>
          <w:rFonts w:ascii="Calibri" w:hAnsi="Calibri"/>
          <w:color w:val="525866"/>
          <w:sz w:val="22"/>
        </w:rPr>
        <w:t>: with no defined rebuild timeline and the unit still down, any negative update on repair costs or timeline could weigh on capture rates and surprise the market, even in an otherwise strong quarter. On the upside, the new $5 billion buyback authorization (July 16) signals management’s confidence in sustained free cash flow generation.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high bar — Q2 2026 EPS of ~$10.08 implies a near-tripling year-over-year — but the macro environment (Iran-driven supply tightness, record crack spreads, strong jet demand) has consistently surprised to the upside. Refining EBITDA is the bigger swing factor given Port Arthur capture rate uncertainty.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(from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($/share)</w:t>
            </w:r>
          </w:p>
        </w:tc>
        <w:tc>
          <w:tcPr>
            <w:tcW w:type="dxa" w:w="1234"/>
          </w:tcPr>
          <w:p>
            <w:r>
              <w:rPr>
                <w:rFonts w:ascii="Calibri" w:hAnsi="Calibri"/>
                <w:sz w:val="22"/>
              </w:rPr>
              <w:t>$4.22</w:t>
            </w:r>
          </w:p>
        </w:tc>
        <w:tc>
          <w:tcPr>
            <w:tcW w:type="dxa" w:w="1234"/>
          </w:tcPr>
          <w:p>
            <w:r>
              <w:rPr>
                <w:rFonts w:ascii="Calibri" w:hAnsi="Calibri"/>
                <w:sz w:val="22"/>
              </w:rPr>
              <w:t>$2.28</w:t>
            </w:r>
          </w:p>
        </w:tc>
        <w:tc>
          <w:tcPr>
            <w:tcW w:type="dxa" w:w="1234"/>
          </w:tcPr>
          <w:p>
            <w:r>
              <w:rPr>
                <w:rFonts w:ascii="Calibri" w:hAnsi="Calibri"/>
                <w:sz w:val="22"/>
              </w:rPr>
              <w:t>$10.08</w:t>
            </w:r>
          </w:p>
        </w:tc>
        <w:tc>
          <w:tcPr>
            <w:tcW w:type="dxa" w:w="1234"/>
          </w:tcPr>
          <w:p>
            <w:r>
              <w:rPr>
                <w:rFonts w:ascii="Calibri" w:hAnsi="Calibri"/>
                <w:b/>
                <w:color w:val="30A46C"/>
                <w:sz w:val="22"/>
              </w:rPr>
              <w:t>+342% YoY</w:t>
            </w:r>
          </w:p>
        </w:tc>
        <w:tc>
          <w:tcPr>
            <w:tcW w:type="dxa" w:w="1234"/>
          </w:tcPr>
          <w:p>
            <w:r>
              <w:rPr>
                <w:rFonts w:ascii="Calibri" w:hAnsi="Calibri"/>
                <w:sz w:val="22"/>
              </w:rPr>
              <w:t>No specific EPS guidance provided</w:t>
            </w:r>
          </w:p>
        </w:tc>
        <w:tc>
          <w:tcPr>
            <w:tcW w:type="dxa" w:w="1234"/>
          </w:tcPr>
          <w:p>
            <w:r>
              <w:rPr>
                <w:rFonts w:ascii="Calibri" w:hAnsi="Calibri"/>
                <w:sz w:val="22"/>
              </w:rPr>
              <w:t>N/A</w:t>
            </w:r>
          </w:p>
        </w:tc>
      </w:tr>
      <w:tr>
        <w:tc>
          <w:tcPr>
            <w:tcW w:type="dxa" w:w="1234"/>
          </w:tcPr>
          <w:p>
            <w:r>
              <w:rPr>
                <w:rFonts w:ascii="Calibri" w:hAnsi="Calibri"/>
                <w:sz w:val="22"/>
              </w:rPr>
              <w:t>Refining EBITDA ($M)</w:t>
            </w:r>
          </w:p>
        </w:tc>
        <w:tc>
          <w:tcPr>
            <w:tcW w:type="dxa" w:w="1234"/>
          </w:tcPr>
          <w:p>
            <w:r>
              <w:rPr>
                <w:rFonts w:ascii="Calibri" w:hAnsi="Calibri"/>
                <w:sz w:val="22"/>
              </w:rPr>
              <w:t>$2,562M</w:t>
            </w:r>
          </w:p>
        </w:tc>
        <w:tc>
          <w:tcPr>
            <w:tcW w:type="dxa" w:w="1234"/>
          </w:tcPr>
          <w:p>
            <w:r>
              <w:rPr>
                <w:rFonts w:ascii="Calibri" w:hAnsi="Calibri"/>
                <w:sz w:val="22"/>
              </w:rPr>
              <w:t>$1,976M</w:t>
            </w:r>
          </w:p>
        </w:tc>
        <w:tc>
          <w:tcPr>
            <w:tcW w:type="dxa" w:w="1234"/>
          </w:tcPr>
          <w:p>
            <w:r>
              <w:rPr>
                <w:rFonts w:ascii="Calibri" w:hAnsi="Calibri"/>
                <w:sz w:val="22"/>
              </w:rPr>
              <w:t>$4,383M</w:t>
            </w:r>
          </w:p>
        </w:tc>
        <w:tc>
          <w:tcPr>
            <w:tcW w:type="dxa" w:w="1234"/>
          </w:tcPr>
          <w:p>
            <w:r>
              <w:rPr>
                <w:rFonts w:ascii="Calibri" w:hAnsi="Calibri"/>
                <w:b/>
                <w:color w:val="30A46C"/>
                <w:sz w:val="22"/>
              </w:rPr>
              <w:t>+122% YoY</w:t>
            </w:r>
          </w:p>
        </w:tc>
        <w:tc>
          <w:tcPr>
            <w:tcW w:type="dxa" w:w="1234"/>
          </w:tcPr>
          <w:p>
            <w:r>
              <w:rPr>
                <w:rFonts w:ascii="Calibri" w:hAnsi="Calibri"/>
                <w:sz w:val="22"/>
              </w:rPr>
              <w:t>No specific EBITDA guidance provided</w:t>
            </w:r>
          </w:p>
        </w:tc>
        <w:tc>
          <w:tcPr>
            <w:tcW w:type="dxa" w:w="1234"/>
          </w:tcPr>
          <w:p>
            <w:r>
              <w:rPr>
                <w:rFonts w:ascii="Calibri" w:hAnsi="Calibri"/>
                <w:sz w:val="22"/>
              </w:rPr>
              <w:t>N/A</w:t>
            </w:r>
          </w:p>
        </w:tc>
      </w:tr>
      <w:tr>
        <w:tc>
          <w:tcPr>
            <w:tcW w:type="dxa" w:w="1234"/>
          </w:tcPr>
          <w:p>
            <w:r>
              <w:rPr>
                <w:rFonts w:ascii="Calibri" w:hAnsi="Calibri"/>
                <w:sz w:val="22"/>
              </w:rPr>
              <w:t>Total Revenues ($B)</w:t>
            </w:r>
          </w:p>
        </w:tc>
        <w:tc>
          <w:tcPr>
            <w:tcW w:type="dxa" w:w="1234"/>
          </w:tcPr>
          <w:p>
            <w:r>
              <w:rPr>
                <w:rFonts w:ascii="Calibri" w:hAnsi="Calibri"/>
                <w:sz w:val="22"/>
              </w:rPr>
              <w:t>$32.4B</w:t>
            </w:r>
          </w:p>
        </w:tc>
        <w:tc>
          <w:tcPr>
            <w:tcW w:type="dxa" w:w="1234"/>
          </w:tcPr>
          <w:p>
            <w:r>
              <w:rPr>
                <w:rFonts w:ascii="Calibri" w:hAnsi="Calibri"/>
                <w:sz w:val="22"/>
              </w:rPr>
              <w:t>$29.9B</w:t>
            </w:r>
          </w:p>
        </w:tc>
        <w:tc>
          <w:tcPr>
            <w:tcW w:type="dxa" w:w="1234"/>
          </w:tcPr>
          <w:p>
            <w:r>
              <w:rPr>
                <w:rFonts w:ascii="Calibri" w:hAnsi="Calibri"/>
                <w:sz w:val="22"/>
              </w:rPr>
              <w:t>$39.1B</w:t>
            </w:r>
          </w:p>
        </w:tc>
        <w:tc>
          <w:tcPr>
            <w:tcW w:type="dxa" w:w="1234"/>
          </w:tcPr>
          <w:p>
            <w:r>
              <w:rPr>
                <w:rFonts w:ascii="Calibri" w:hAnsi="Calibri"/>
                <w:b/>
                <w:color w:val="30A46C"/>
                <w:sz w:val="22"/>
              </w:rPr>
              <w:t>+31% YoY</w:t>
            </w:r>
          </w:p>
        </w:tc>
        <w:tc>
          <w:tcPr>
            <w:tcW w:type="dxa" w:w="1234"/>
          </w:tcPr>
          <w:p>
            <w:r>
              <w:rPr>
                <w:rFonts w:ascii="Calibri" w:hAnsi="Calibri"/>
                <w:sz w:val="22"/>
              </w:rPr>
              <w:t>No specific revenue guidance provided</w:t>
            </w:r>
          </w:p>
        </w:tc>
        <w:tc>
          <w:tcPr>
            <w:tcW w:type="dxa" w:w="1234"/>
          </w:tcPr>
          <w:p>
            <w:r>
              <w:rPr>
                <w:rFonts w:ascii="Calibri" w:hAnsi="Calibri"/>
                <w:sz w:val="22"/>
              </w:rPr>
              <w:t>N/A</w:t>
            </w:r>
          </w:p>
        </w:tc>
      </w:tr>
      <w:tr>
        <w:tc>
          <w:tcPr>
            <w:tcW w:type="dxa" w:w="1234"/>
          </w:tcPr>
          <w:p>
            <w:r>
              <w:rPr>
                <w:rFonts w:ascii="Calibri" w:hAnsi="Calibri"/>
                <w:sz w:val="22"/>
              </w:rPr>
              <w:t>Refining Throughput — Total (Mbpd)</w:t>
            </w:r>
          </w:p>
        </w:tc>
        <w:tc>
          <w:tcPr>
            <w:tcW w:type="dxa" w:w="1234"/>
          </w:tcPr>
          <w:p>
            <w:r>
              <w:rPr>
                <w:rFonts w:ascii="Calibri" w:hAnsi="Calibri"/>
                <w:sz w:val="22"/>
              </w:rPr>
              <w:t>2,914 Mbpd</w:t>
            </w:r>
          </w:p>
        </w:tc>
        <w:tc>
          <w:tcPr>
            <w:tcW w:type="dxa" w:w="1234"/>
          </w:tcPr>
          <w:p>
            <w:r>
              <w:rPr>
                <w:rFonts w:ascii="Calibri" w:hAnsi="Calibri"/>
                <w:sz w:val="22"/>
              </w:rPr>
              <w:t>2,922 Mbpd</w:t>
            </w:r>
          </w:p>
        </w:tc>
        <w:tc>
          <w:tcPr>
            <w:tcW w:type="dxa" w:w="1234"/>
          </w:tcPr>
          <w:p>
            <w:r>
              <w:rPr>
                <w:rFonts w:ascii="Calibri" w:hAnsi="Calibri"/>
                <w:sz w:val="22"/>
              </w:rPr>
              <w:t>2,811 Mbpd</w:t>
            </w:r>
          </w:p>
        </w:tc>
        <w:tc>
          <w:tcPr>
            <w:tcW w:type="dxa" w:w="1234"/>
          </w:tcPr>
          <w:p>
            <w:r>
              <w:rPr>
                <w:rFonts w:ascii="Calibri" w:hAnsi="Calibri"/>
                <w:b/>
                <w:color w:val="E5484D"/>
                <w:sz w:val="22"/>
              </w:rPr>
              <w:t>-4% YoY</w:t>
            </w:r>
          </w:p>
        </w:tc>
        <w:tc>
          <w:tcPr>
            <w:tcW w:type="dxa" w:w="1234"/>
          </w:tcPr>
          <w:p>
            <w:r>
              <w:rPr>
                <w:rFonts w:ascii="Calibri" w:hAnsi="Calibri"/>
                <w:sz w:val="22"/>
              </w:rPr>
              <w:t>Gulf Coast: 1,690–1,740 Mbpd; Mid-Con: 450–470 Mbpd; West Coast: 120–130 Mbpd; N. Atlantic: 480–500 Mbpd (total implied ~2,740–2,840 Mbpd)</w:t>
            </w:r>
          </w:p>
        </w:tc>
        <w:tc>
          <w:tcPr>
            <w:tcW w:type="dxa" w:w="1234"/>
          </w:tcPr>
          <w:p>
            <w:r>
              <w:rPr>
                <w:rFonts w:ascii="Calibri" w:hAnsi="Calibri"/>
                <w:sz w:val="22"/>
              </w:rPr>
              <w:t>Consensus ~+1% above guidance midpoint</w:t>
            </w:r>
          </w:p>
        </w:tc>
      </w:tr>
      <w:tr>
        <w:tc>
          <w:tcPr>
            <w:tcW w:type="dxa" w:w="1234"/>
          </w:tcPr>
          <w:p>
            <w:r>
              <w:rPr>
                <w:rFonts w:ascii="Calibri" w:hAnsi="Calibri"/>
                <w:sz w:val="22"/>
              </w:rPr>
              <w:t>Refining Cash Opex ($/bbl)</w:t>
            </w:r>
          </w:p>
        </w:tc>
        <w:tc>
          <w:tcPr>
            <w:tcW w:type="dxa" w:w="1234"/>
          </w:tcPr>
          <w:p>
            <w:r>
              <w:rPr>
                <w:rFonts w:ascii="Calibri" w:hAnsi="Calibri"/>
                <w:sz w:val="22"/>
              </w:rPr>
              <w:t>N/A — not in VA for Q1 2026</w:t>
            </w:r>
          </w:p>
        </w:tc>
        <w:tc>
          <w:tcPr>
            <w:tcW w:type="dxa" w:w="1234"/>
          </w:tcPr>
          <w:p>
            <w:r>
              <w:rPr>
                <w:rFonts w:ascii="Calibri" w:hAnsi="Calibri"/>
                <w:sz w:val="22"/>
              </w:rPr>
              <w:t>N/A — not in VA for Q2 2025</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~$4.85/bbl (Q1 2026 earnings call guidance)</w:t>
            </w:r>
          </w:p>
        </w:tc>
        <w:tc>
          <w:tcPr>
            <w:tcW w:type="dxa" w:w="1234"/>
          </w:tcPr>
          <w:p>
            <w:r>
              <w:rPr>
                <w:rFonts w:ascii="Calibri" w:hAnsi="Calibri"/>
                <w:sz w:val="22"/>
              </w:rPr>
              <w:t>N/A</w:t>
            </w:r>
          </w:p>
        </w:tc>
      </w:tr>
      <w:tr>
        <w:tc>
          <w:tcPr>
            <w:tcW w:type="dxa" w:w="1234"/>
          </w:tcPr>
          <w:p>
            <w:r>
              <w:rPr>
                <w:rFonts w:ascii="Calibri" w:hAnsi="Calibri"/>
                <w:sz w:val="22"/>
              </w:rPr>
              <w:t>Renewable Diesel Sales (M gallons)</w:t>
            </w:r>
          </w:p>
        </w:tc>
        <w:tc>
          <w:tcPr>
            <w:tcW w:type="dxa" w:w="1234"/>
          </w:tcPr>
          <w:p>
            <w:r>
              <w:rPr>
                <w:rFonts w:ascii="Calibri" w:hAnsi="Calibri"/>
                <w:sz w:val="22"/>
              </w:rPr>
              <w:t>N/A — not in VA for Q1 2026</w:t>
            </w:r>
          </w:p>
        </w:tc>
        <w:tc>
          <w:tcPr>
            <w:tcW w:type="dxa" w:w="1234"/>
          </w:tcPr>
          <w:p>
            <w:r>
              <w:rPr>
                <w:rFonts w:ascii="Calibri" w:hAnsi="Calibri"/>
                <w:sz w:val="22"/>
              </w:rPr>
              <w:t>N/A — not in VA for Q2 2025</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~320M gallons (Q1 2026 earnings call guidance)</w:t>
            </w:r>
          </w:p>
        </w:tc>
        <w:tc>
          <w:tcPr>
            <w:tcW w:type="dxa" w:w="1234"/>
          </w:tcPr>
          <w:p>
            <w:r>
              <w:rPr>
                <w:rFonts w:ascii="Calibri" w:hAnsi="Calibri"/>
                <w:sz w:val="22"/>
              </w:rPr>
              <w:t>N/A</w:t>
            </w:r>
          </w:p>
        </w:tc>
      </w:tr>
      <w:tr>
        <w:tc>
          <w:tcPr>
            <w:tcW w:type="dxa" w:w="1234"/>
          </w:tcPr>
          <w:p>
            <w:r>
              <w:rPr>
                <w:rFonts w:ascii="Calibri" w:hAnsi="Calibri"/>
                <w:sz w:val="22"/>
              </w:rPr>
              <w:t>Ethanol Production (M gallons/day)</w:t>
            </w:r>
          </w:p>
        </w:tc>
        <w:tc>
          <w:tcPr>
            <w:tcW w:type="dxa" w:w="1234"/>
          </w:tcPr>
          <w:p>
            <w:r>
              <w:rPr>
                <w:rFonts w:ascii="Calibri" w:hAnsi="Calibri"/>
                <w:sz w:val="22"/>
              </w:rPr>
              <w:t>N/A — not in VA for Q1 2026</w:t>
            </w:r>
          </w:p>
        </w:tc>
        <w:tc>
          <w:tcPr>
            <w:tcW w:type="dxa" w:w="1234"/>
          </w:tcPr>
          <w:p>
            <w:r>
              <w:rPr>
                <w:rFonts w:ascii="Calibri" w:hAnsi="Calibri"/>
                <w:sz w:val="22"/>
              </w:rPr>
              <w:t>N/A — not in VA for Q2 2025</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~4.7M gallons/day (Q1 2026 earnings call guidance)</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EPS — Diluted Operating, Refining EBITDA, Total Revenues, and Refining Throughput consensus and actuals from Visible Alpha Consensus Data. Guidance figures from VLO Q1 2026 Earnings Call transcript (April 30, 2026). Refining Cash Opex, Renewable Diesel Sales, and Ethanol Production are management-guided metrics not tracked as consensus KPIs in Visible Alpha.</w:t>
      </w:r>
    </w:p>
    <w:p>
      <w:pPr>
        <w:pStyle w:val="Heading3"/>
      </w:pPr>
      <w:r>
        <w:rPr>
          <w:rFonts w:ascii="Calibri" w:hAnsi="Calibri"/>
          <w:b/>
          <w:color w:val="3B4259"/>
          <w:sz w:val="24"/>
        </w:rPr>
        <w:t>Table 2 — Beat/Miss History (Last 8 Quarters — Top 2 KPIs)</w:t>
      </w:r>
    </w:p>
    <w:p>
      <w:pPr>
        <w:pStyle w:val="Heading4"/>
      </w:pPr>
      <w:r>
        <w:rPr>
          <w:rFonts w:ascii="Calibri" w:hAnsi="Calibri"/>
          <w:b/>
          <w:color w:val="3B4259"/>
          <w:sz w:val="22"/>
        </w:rPr>
        <w:t>KPI 1: EPS — Diluted Operating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$4.22</w:t>
            </w:r>
          </w:p>
        </w:tc>
        <w:tc>
          <w:tcPr>
            <w:tcW w:type="dxa" w:w="1728"/>
          </w:tcPr>
          <w:p>
            <w:r>
              <w:rPr>
                <w:rFonts w:ascii="Calibri" w:hAnsi="Calibri"/>
                <w:sz w:val="22"/>
              </w:rPr>
              <w:t>$3.17</w:t>
            </w:r>
          </w:p>
        </w:tc>
        <w:tc>
          <w:tcPr>
            <w:tcW w:type="dxa" w:w="1728"/>
          </w:tcPr>
          <w:p>
            <w:r>
              <w:rPr>
                <w:rFonts w:ascii="Calibri" w:hAnsi="Calibri"/>
                <w:b/>
                <w:color w:val="30A46C"/>
                <w:sz w:val="22"/>
              </w:rPr>
              <w:t>+33.1%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$3.82</w:t>
            </w:r>
          </w:p>
        </w:tc>
        <w:tc>
          <w:tcPr>
            <w:tcW w:type="dxa" w:w="1728"/>
          </w:tcPr>
          <w:p>
            <w:r>
              <w:rPr>
                <w:rFonts w:ascii="Calibri" w:hAnsi="Calibri"/>
                <w:sz w:val="22"/>
              </w:rPr>
              <w:t>$3.25</w:t>
            </w:r>
          </w:p>
        </w:tc>
        <w:tc>
          <w:tcPr>
            <w:tcW w:type="dxa" w:w="1728"/>
          </w:tcPr>
          <w:p>
            <w:r>
              <w:rPr>
                <w:rFonts w:ascii="Calibri" w:hAnsi="Calibri"/>
                <w:b/>
                <w:color w:val="30A46C"/>
                <w:sz w:val="22"/>
              </w:rPr>
              <w:t>+17.5%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$3.66</w:t>
            </w:r>
          </w:p>
        </w:tc>
        <w:tc>
          <w:tcPr>
            <w:tcW w:type="dxa" w:w="1728"/>
          </w:tcPr>
          <w:p>
            <w:r>
              <w:rPr>
                <w:rFonts w:ascii="Calibri" w:hAnsi="Calibri"/>
                <w:sz w:val="22"/>
              </w:rPr>
              <w:t>$3.08</w:t>
            </w:r>
          </w:p>
        </w:tc>
        <w:tc>
          <w:tcPr>
            <w:tcW w:type="dxa" w:w="1728"/>
          </w:tcPr>
          <w:p>
            <w:r>
              <w:rPr>
                <w:rFonts w:ascii="Calibri" w:hAnsi="Calibri"/>
                <w:b/>
                <w:color w:val="30A46C"/>
                <w:sz w:val="22"/>
              </w:rPr>
              <w:t>+18.8%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$2.28</w:t>
            </w:r>
          </w:p>
        </w:tc>
        <w:tc>
          <w:tcPr>
            <w:tcW w:type="dxa" w:w="1728"/>
          </w:tcPr>
          <w:p>
            <w:r>
              <w:rPr>
                <w:rFonts w:ascii="Calibri" w:hAnsi="Calibri"/>
                <w:sz w:val="22"/>
              </w:rPr>
              <w:t>$1.72</w:t>
            </w:r>
          </w:p>
        </w:tc>
        <w:tc>
          <w:tcPr>
            <w:tcW w:type="dxa" w:w="1728"/>
          </w:tcPr>
          <w:p>
            <w:r>
              <w:rPr>
                <w:rFonts w:ascii="Calibri" w:hAnsi="Calibri"/>
                <w:b/>
                <w:color w:val="30A46C"/>
                <w:sz w:val="22"/>
              </w:rPr>
              <w:t>+32.6%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$0.89</w:t>
            </w:r>
          </w:p>
        </w:tc>
        <w:tc>
          <w:tcPr>
            <w:tcW w:type="dxa" w:w="1728"/>
          </w:tcPr>
          <w:p>
            <w:r>
              <w:rPr>
                <w:rFonts w:ascii="Calibri" w:hAnsi="Calibri"/>
                <w:sz w:val="22"/>
              </w:rPr>
              <w:t>$0.42</w:t>
            </w:r>
          </w:p>
        </w:tc>
        <w:tc>
          <w:tcPr>
            <w:tcW w:type="dxa" w:w="1728"/>
          </w:tcPr>
          <w:p>
            <w:r>
              <w:rPr>
                <w:rFonts w:ascii="Calibri" w:hAnsi="Calibri"/>
                <w:b/>
                <w:color w:val="30A46C"/>
                <w:sz w:val="22"/>
              </w:rPr>
              <w:t>+112.0%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$0.64</w:t>
            </w:r>
          </w:p>
        </w:tc>
        <w:tc>
          <w:tcPr>
            <w:tcW w:type="dxa" w:w="1728"/>
          </w:tcPr>
          <w:p>
            <w:r>
              <w:rPr>
                <w:rFonts w:ascii="Calibri" w:hAnsi="Calibri"/>
                <w:sz w:val="22"/>
              </w:rPr>
              <w:t>$0.11</w:t>
            </w:r>
          </w:p>
        </w:tc>
        <w:tc>
          <w:tcPr>
            <w:tcW w:type="dxa" w:w="1728"/>
          </w:tcPr>
          <w:p>
            <w:r>
              <w:rPr>
                <w:rFonts w:ascii="Calibri" w:hAnsi="Calibri"/>
                <w:b/>
                <w:color w:val="30A46C"/>
                <w:sz w:val="22"/>
              </w:rPr>
              <w:t>+481.8%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$1.14</w:t>
            </w:r>
          </w:p>
        </w:tc>
        <w:tc>
          <w:tcPr>
            <w:tcW w:type="dxa" w:w="1728"/>
          </w:tcPr>
          <w:p>
            <w:r>
              <w:rPr>
                <w:rFonts w:ascii="Calibri" w:hAnsi="Calibri"/>
                <w:sz w:val="22"/>
              </w:rPr>
              <w:t>$1.01</w:t>
            </w:r>
          </w:p>
        </w:tc>
        <w:tc>
          <w:tcPr>
            <w:tcW w:type="dxa" w:w="1728"/>
          </w:tcPr>
          <w:p>
            <w:r>
              <w:rPr>
                <w:rFonts w:ascii="Calibri" w:hAnsi="Calibri"/>
                <w:b/>
                <w:color w:val="30A46C"/>
                <w:sz w:val="22"/>
              </w:rPr>
              <w:t>+13.3%</w:t>
            </w:r>
          </w:p>
        </w:tc>
        <w:tc>
          <w:tcPr>
            <w:tcW w:type="dxa" w:w="1728"/>
          </w:tcPr>
          <w:p>
            <w:r>
              <w:rPr>
                <w:rFonts w:ascii="Calibri" w:hAnsi="Calibri"/>
                <w:b/>
                <w:color w:val="30A46C"/>
                <w:sz w:val="22"/>
              </w:rPr>
              <w:t>Beat</w:t>
            </w:r>
          </w:p>
        </w:tc>
      </w:tr>
    </w:tbl>
    <w:p>
      <w:pPr>
        <w:pStyle w:val="Heading4"/>
      </w:pPr>
      <w:r>
        <w:rPr>
          <w:rFonts w:ascii="Calibri" w:hAnsi="Calibri"/>
          <w:b/>
          <w:color w:val="3B4259"/>
          <w:sz w:val="22"/>
        </w:rPr>
        <w:t>KPI 2: Refining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$2,562M</w:t>
            </w:r>
          </w:p>
        </w:tc>
        <w:tc>
          <w:tcPr>
            <w:tcW w:type="dxa" w:w="1728"/>
          </w:tcPr>
          <w:p>
            <w:r>
              <w:rPr>
                <w:rFonts w:ascii="Calibri" w:hAnsi="Calibri"/>
                <w:sz w:val="22"/>
              </w:rPr>
              <w:t>$2,115M</w:t>
            </w:r>
          </w:p>
        </w:tc>
        <w:tc>
          <w:tcPr>
            <w:tcW w:type="dxa" w:w="1728"/>
          </w:tcPr>
          <w:p>
            <w:r>
              <w:rPr>
                <w:rFonts w:ascii="Calibri" w:hAnsi="Calibri"/>
                <w:b/>
                <w:color w:val="30A46C"/>
                <w:sz w:val="22"/>
              </w:rPr>
              <w:t>+21.1%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$2,457M</w:t>
            </w:r>
          </w:p>
        </w:tc>
        <w:tc>
          <w:tcPr>
            <w:tcW w:type="dxa" w:w="1728"/>
          </w:tcPr>
          <w:p>
            <w:r>
              <w:rPr>
                <w:rFonts w:ascii="Calibri" w:hAnsi="Calibri"/>
                <w:sz w:val="22"/>
              </w:rPr>
              <w:t>$2,297M</w:t>
            </w:r>
          </w:p>
        </w:tc>
        <w:tc>
          <w:tcPr>
            <w:tcW w:type="dxa" w:w="1728"/>
          </w:tcPr>
          <w:p>
            <w:r>
              <w:rPr>
                <w:rFonts w:ascii="Calibri" w:hAnsi="Calibri"/>
                <w:b/>
                <w:color w:val="30A46C"/>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$2,394M</w:t>
            </w:r>
          </w:p>
        </w:tc>
        <w:tc>
          <w:tcPr>
            <w:tcW w:type="dxa" w:w="1728"/>
          </w:tcPr>
          <w:p>
            <w:r>
              <w:rPr>
                <w:rFonts w:ascii="Calibri" w:hAnsi="Calibri"/>
                <w:sz w:val="22"/>
              </w:rPr>
              <w:t>$2,183M</w:t>
            </w:r>
          </w:p>
        </w:tc>
        <w:tc>
          <w:tcPr>
            <w:tcW w:type="dxa" w:w="1728"/>
          </w:tcPr>
          <w:p>
            <w:r>
              <w:rPr>
                <w:rFonts w:ascii="Calibri" w:hAnsi="Calibri"/>
                <w:b/>
                <w:color w:val="30A46C"/>
                <w:sz w:val="22"/>
              </w:rPr>
              <w:t>+9.7%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$1,976M</w:t>
            </w:r>
          </w:p>
        </w:tc>
        <w:tc>
          <w:tcPr>
            <w:tcW w:type="dxa" w:w="1728"/>
          </w:tcPr>
          <w:p>
            <w:r>
              <w:rPr>
                <w:rFonts w:ascii="Calibri" w:hAnsi="Calibri"/>
                <w:sz w:val="22"/>
              </w:rPr>
              <w:t>$1,626M</w:t>
            </w:r>
          </w:p>
        </w:tc>
        <w:tc>
          <w:tcPr>
            <w:tcW w:type="dxa" w:w="1728"/>
          </w:tcPr>
          <w:p>
            <w:r>
              <w:rPr>
                <w:rFonts w:ascii="Calibri" w:hAnsi="Calibri"/>
                <w:b/>
                <w:color w:val="30A46C"/>
                <w:sz w:val="22"/>
              </w:rPr>
              <w:t>+21.5%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$1,199M</w:t>
            </w:r>
          </w:p>
        </w:tc>
        <w:tc>
          <w:tcPr>
            <w:tcW w:type="dxa" w:w="1728"/>
          </w:tcPr>
          <w:p>
            <w:r>
              <w:rPr>
                <w:rFonts w:ascii="Calibri" w:hAnsi="Calibri"/>
                <w:sz w:val="22"/>
              </w:rPr>
              <w:t>$1,093M</w:t>
            </w:r>
          </w:p>
        </w:tc>
        <w:tc>
          <w:tcPr>
            <w:tcW w:type="dxa" w:w="1728"/>
          </w:tcPr>
          <w:p>
            <w:r>
              <w:rPr>
                <w:rFonts w:ascii="Calibri" w:hAnsi="Calibri"/>
                <w:b/>
                <w:color w:val="30A46C"/>
                <w:sz w:val="22"/>
              </w:rPr>
              <w:t>+9.7%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$1,039M</w:t>
            </w:r>
          </w:p>
        </w:tc>
        <w:tc>
          <w:tcPr>
            <w:tcW w:type="dxa" w:w="1728"/>
          </w:tcPr>
          <w:p>
            <w:r>
              <w:rPr>
                <w:rFonts w:ascii="Calibri" w:hAnsi="Calibri"/>
                <w:sz w:val="22"/>
              </w:rPr>
              <w:t>$920M</w:t>
            </w:r>
          </w:p>
        </w:tc>
        <w:tc>
          <w:tcPr>
            <w:tcW w:type="dxa" w:w="1728"/>
          </w:tcPr>
          <w:p>
            <w:r>
              <w:rPr>
                <w:rFonts w:ascii="Calibri" w:hAnsi="Calibri"/>
                <w:b/>
                <w:color w:val="30A46C"/>
                <w:sz w:val="22"/>
              </w:rPr>
              <w:t>+12.9%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$1,157M</w:t>
            </w:r>
          </w:p>
        </w:tc>
        <w:tc>
          <w:tcPr>
            <w:tcW w:type="dxa" w:w="1728"/>
          </w:tcPr>
          <w:p>
            <w:r>
              <w:rPr>
                <w:rFonts w:ascii="Calibri" w:hAnsi="Calibri"/>
                <w:sz w:val="22"/>
              </w:rPr>
              <w:t>$1,102M</w:t>
            </w:r>
          </w:p>
        </w:tc>
        <w:tc>
          <w:tcPr>
            <w:tcW w:type="dxa" w:w="1728"/>
          </w:tcPr>
          <w:p>
            <w:r>
              <w:rPr>
                <w:rFonts w:ascii="Calibri" w:hAnsi="Calibri"/>
                <w:b/>
                <w:color w:val="30A46C"/>
                <w:sz w:val="22"/>
              </w:rPr>
              <w:t>+5.0%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VLO has beaten consensus on both EPS and Refining EBITDA in each of the last 7 reported quarters, with surprise magnitudes ranging from +5% to +482% — the consistent beat pattern reflects management’s tendency to guide conservatively and the market’s difficulty in modeling volatile crack spread environments.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the Q1 2026 earnings call — no post-earnings revisions have been issued — but the July 16 announcement of a new $5B buyback authorization signals management’s confidence in sustained free cash flow generation and represents a meaningful capital allocation signal heading into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April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Refining Throughput — Gulf Coast (Mbpd)</w:t>
            </w:r>
          </w:p>
        </w:tc>
        <w:tc>
          <w:tcPr>
            <w:tcW w:type="dxa" w:w="1728"/>
          </w:tcPr>
          <w:p>
            <w:r>
              <w:rPr>
                <w:rFonts w:ascii="Calibri" w:hAnsi="Calibri"/>
                <w:sz w:val="22"/>
              </w:rPr>
              <w:t>1,690–1,740 Mbpd (reflects reduced Port Arthur rates)</w:t>
            </w:r>
          </w:p>
        </w:tc>
        <w:tc>
          <w:tcPr>
            <w:tcW w:type="dxa" w:w="1728"/>
          </w:tcPr>
          <w:p>
            <w:r>
              <w:rPr>
                <w:rFonts w:ascii="Calibri" w:hAnsi="Calibri"/>
                <w:sz w:val="22"/>
              </w:rPr>
              <w:t>—</w:t>
            </w:r>
          </w:p>
        </w:tc>
        <w:tc>
          <w:tcPr>
            <w:tcW w:type="dxa" w:w="1728"/>
          </w:tcPr>
          <w:p>
            <w:r>
              <w:rPr>
                <w:rFonts w:ascii="Calibri" w:hAnsi="Calibri"/>
                <w:sz w:val="22"/>
              </w:rPr>
              <w:t>~2,811 Mbpd total system (VA consensus)</w:t>
            </w:r>
          </w:p>
        </w:tc>
        <w:tc>
          <w:tcPr>
            <w:tcW w:type="dxa" w:w="1728"/>
          </w:tcPr>
          <w:p>
            <w:r>
              <w:rPr>
                <w:rFonts w:ascii="Calibri" w:hAnsi="Calibri"/>
                <w:sz w:val="22"/>
              </w:rPr>
              <w:t>Unchanged since Q1 call; Port Arthur diesel hydrotreater remains down with no rebuild timeline</w:t>
            </w:r>
          </w:p>
        </w:tc>
      </w:tr>
      <w:tr>
        <w:tc>
          <w:tcPr>
            <w:tcW w:type="dxa" w:w="1728"/>
          </w:tcPr>
          <w:p>
            <w:r>
              <w:rPr>
                <w:rFonts w:ascii="Calibri" w:hAnsi="Calibri"/>
                <w:sz w:val="22"/>
              </w:rPr>
              <w:t>Refining Throughput — Mid-Continent (Mbpd)</w:t>
            </w:r>
          </w:p>
        </w:tc>
        <w:tc>
          <w:tcPr>
            <w:tcW w:type="dxa" w:w="1728"/>
          </w:tcPr>
          <w:p>
            <w:r>
              <w:rPr>
                <w:rFonts w:ascii="Calibri" w:hAnsi="Calibri"/>
                <w:sz w:val="22"/>
              </w:rPr>
              <w:t>450–470 Mbpd</w:t>
            </w:r>
          </w:p>
        </w:tc>
        <w:tc>
          <w:tcPr>
            <w:tcW w:type="dxa" w:w="1728"/>
          </w:tcPr>
          <w:p>
            <w:r>
              <w:rPr>
                <w:rFonts w:ascii="Calibri" w:hAnsi="Calibri"/>
                <w:sz w:val="22"/>
              </w:rPr>
              <w:t>—</w:t>
            </w:r>
          </w:p>
        </w:tc>
        <w:tc>
          <w:tcPr>
            <w:tcW w:type="dxa" w:w="1728"/>
          </w:tcPr>
          <w:p>
            <w:r>
              <w:rPr>
                <w:rFonts w:ascii="Calibri" w:hAnsi="Calibri"/>
                <w:sz w:val="22"/>
              </w:rPr>
              <w:t>N/A — not broken out in VA consensus</w:t>
            </w:r>
          </w:p>
        </w:tc>
        <w:tc>
          <w:tcPr>
            <w:tcW w:type="dxa" w:w="1728"/>
          </w:tcPr>
          <w:p>
            <w:r>
              <w:rPr>
                <w:rFonts w:ascii="Calibri" w:hAnsi="Calibri"/>
                <w:sz w:val="22"/>
              </w:rPr>
              <w:t>Unchanged since Q1 call</w:t>
            </w:r>
          </w:p>
        </w:tc>
      </w:tr>
      <w:tr>
        <w:tc>
          <w:tcPr>
            <w:tcW w:type="dxa" w:w="1728"/>
          </w:tcPr>
          <w:p>
            <w:r>
              <w:rPr>
                <w:rFonts w:ascii="Calibri" w:hAnsi="Calibri"/>
                <w:sz w:val="22"/>
              </w:rPr>
              <w:t>Refining Throughput — West Coast (Mbpd)</w:t>
            </w:r>
          </w:p>
        </w:tc>
        <w:tc>
          <w:tcPr>
            <w:tcW w:type="dxa" w:w="1728"/>
          </w:tcPr>
          <w:p>
            <w:r>
              <w:rPr>
                <w:rFonts w:ascii="Calibri" w:hAnsi="Calibri"/>
                <w:sz w:val="22"/>
              </w:rPr>
              <w:t>120–130 Mbpd (reflects Benicia idling completed April 2026)</w:t>
            </w:r>
          </w:p>
        </w:tc>
        <w:tc>
          <w:tcPr>
            <w:tcW w:type="dxa" w:w="1728"/>
          </w:tcPr>
          <w:p>
            <w:r>
              <w:rPr>
                <w:rFonts w:ascii="Calibri" w:hAnsi="Calibri"/>
                <w:sz w:val="22"/>
              </w:rPr>
              <w:t>—</w:t>
            </w:r>
          </w:p>
        </w:tc>
        <w:tc>
          <w:tcPr>
            <w:tcW w:type="dxa" w:w="1728"/>
          </w:tcPr>
          <w:p>
            <w:r>
              <w:rPr>
                <w:rFonts w:ascii="Calibri" w:hAnsi="Calibri"/>
                <w:sz w:val="22"/>
              </w:rPr>
              <w:t>N/A — not broken out in VA consensus</w:t>
            </w:r>
          </w:p>
        </w:tc>
        <w:tc>
          <w:tcPr>
            <w:tcW w:type="dxa" w:w="1728"/>
          </w:tcPr>
          <w:p>
            <w:r>
              <w:rPr>
                <w:rFonts w:ascii="Calibri" w:hAnsi="Calibri"/>
                <w:sz w:val="22"/>
              </w:rPr>
              <w:t>Unchanged; Benicia idling completed April 2026 as planned</w:t>
            </w:r>
          </w:p>
        </w:tc>
      </w:tr>
      <w:tr>
        <w:tc>
          <w:tcPr>
            <w:tcW w:type="dxa" w:w="1728"/>
          </w:tcPr>
          <w:p>
            <w:r>
              <w:rPr>
                <w:rFonts w:ascii="Calibri" w:hAnsi="Calibri"/>
                <w:sz w:val="22"/>
              </w:rPr>
              <w:t>Refining Throughput — North Atlantic (Mbpd)</w:t>
            </w:r>
          </w:p>
        </w:tc>
        <w:tc>
          <w:tcPr>
            <w:tcW w:type="dxa" w:w="1728"/>
          </w:tcPr>
          <w:p>
            <w:r>
              <w:rPr>
                <w:rFonts w:ascii="Calibri" w:hAnsi="Calibri"/>
                <w:sz w:val="22"/>
              </w:rPr>
              <w:t>480–500 Mbpd</w:t>
            </w:r>
          </w:p>
        </w:tc>
        <w:tc>
          <w:tcPr>
            <w:tcW w:type="dxa" w:w="1728"/>
          </w:tcPr>
          <w:p>
            <w:r>
              <w:rPr>
                <w:rFonts w:ascii="Calibri" w:hAnsi="Calibri"/>
                <w:sz w:val="22"/>
              </w:rPr>
              <w:t>—</w:t>
            </w:r>
          </w:p>
        </w:tc>
        <w:tc>
          <w:tcPr>
            <w:tcW w:type="dxa" w:w="1728"/>
          </w:tcPr>
          <w:p>
            <w:r>
              <w:rPr>
                <w:rFonts w:ascii="Calibri" w:hAnsi="Calibri"/>
                <w:sz w:val="22"/>
              </w:rPr>
              <w:t>N/A — not broken out in VA consensus</w:t>
            </w:r>
          </w:p>
        </w:tc>
        <w:tc>
          <w:tcPr>
            <w:tcW w:type="dxa" w:w="1728"/>
          </w:tcPr>
          <w:p>
            <w:r>
              <w:rPr>
                <w:rFonts w:ascii="Calibri" w:hAnsi="Calibri"/>
                <w:sz w:val="22"/>
              </w:rPr>
              <w:t>Unchanged since Q1 call</w:t>
            </w:r>
          </w:p>
        </w:tc>
      </w:tr>
      <w:tr>
        <w:tc>
          <w:tcPr>
            <w:tcW w:type="dxa" w:w="1728"/>
          </w:tcPr>
          <w:p>
            <w:r>
              <w:rPr>
                <w:rFonts w:ascii="Calibri" w:hAnsi="Calibri"/>
                <w:sz w:val="22"/>
              </w:rPr>
              <w:t>Refining Cash Opex ($/bbl)</w:t>
            </w:r>
          </w:p>
        </w:tc>
        <w:tc>
          <w:tcPr>
            <w:tcW w:type="dxa" w:w="1728"/>
          </w:tcPr>
          <w:p>
            <w:r>
              <w:rPr>
                <w:rFonts w:ascii="Calibri" w:hAnsi="Calibri"/>
                <w:sz w:val="22"/>
              </w:rPr>
              <w:t>~$4.85/bbl</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Unchanged since Q1 call</w:t>
            </w:r>
          </w:p>
        </w:tc>
      </w:tr>
      <w:tr>
        <w:tc>
          <w:tcPr>
            <w:tcW w:type="dxa" w:w="1728"/>
          </w:tcPr>
          <w:p>
            <w:r>
              <w:rPr>
                <w:rFonts w:ascii="Calibri" w:hAnsi="Calibri"/>
                <w:sz w:val="22"/>
              </w:rPr>
              <w:t>Renewable Diesel Sales (M gallons)</w:t>
            </w:r>
          </w:p>
        </w:tc>
        <w:tc>
          <w:tcPr>
            <w:tcW w:type="dxa" w:w="1728"/>
          </w:tcPr>
          <w:p>
            <w:r>
              <w:rPr>
                <w:rFonts w:ascii="Calibri" w:hAnsi="Calibri"/>
                <w:sz w:val="22"/>
              </w:rPr>
              <w:t>~320M gallons; opex ~$0.46/gallon (incl. $0.22 D&amp;A)</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Unchanged; management noted higher margins expected in Q2 vs. Q1 with RVO as tailwind</w:t>
            </w:r>
          </w:p>
        </w:tc>
      </w:tr>
      <w:tr>
        <w:tc>
          <w:tcPr>
            <w:tcW w:type="dxa" w:w="1728"/>
          </w:tcPr>
          <w:p>
            <w:r>
              <w:rPr>
                <w:rFonts w:ascii="Calibri" w:hAnsi="Calibri"/>
                <w:sz w:val="22"/>
              </w:rPr>
              <w:t>Ethanol Production (M gallons/day)</w:t>
            </w:r>
          </w:p>
        </w:tc>
        <w:tc>
          <w:tcPr>
            <w:tcW w:type="dxa" w:w="1728"/>
          </w:tcPr>
          <w:p>
            <w:r>
              <w:rPr>
                <w:rFonts w:ascii="Calibri" w:hAnsi="Calibri"/>
                <w:sz w:val="22"/>
              </w:rPr>
              <w:t>~4.7M gallons/day; opex ~$0.39/gallon (incl. $0.04 D&amp;A)</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Unchanged since Q1 call</w:t>
            </w:r>
          </w:p>
        </w:tc>
      </w:tr>
      <w:tr>
        <w:tc>
          <w:tcPr>
            <w:tcW w:type="dxa" w:w="1728"/>
          </w:tcPr>
          <w:p>
            <w:r>
              <w:rPr>
                <w:rFonts w:ascii="Calibri" w:hAnsi="Calibri"/>
                <w:sz w:val="22"/>
              </w:rPr>
              <w:t>D&amp;A (Q2 2026)</w:t>
            </w:r>
          </w:p>
        </w:tc>
        <w:tc>
          <w:tcPr>
            <w:tcW w:type="dxa" w:w="1728"/>
          </w:tcPr>
          <w:p>
            <w:r>
              <w:rPr>
                <w:rFonts w:ascii="Calibri" w:hAnsi="Calibri"/>
                <w:sz w:val="22"/>
              </w:rPr>
              <w:t>~$730M (incl. ~$33M incremental Benicia depreciation through April)</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Benicia incremental D&amp;A ends after April; ~$0.09/share EPS impact in Q2</w:t>
            </w:r>
          </w:p>
        </w:tc>
      </w:tr>
      <w:tr>
        <w:tc>
          <w:tcPr>
            <w:tcW w:type="dxa" w:w="1728"/>
          </w:tcPr>
          <w:p>
            <w:r>
              <w:rPr>
                <w:rFonts w:ascii="Calibri" w:hAnsi="Calibri"/>
                <w:sz w:val="22"/>
              </w:rPr>
              <w:t>Capital Expenditures (2026)</w:t>
            </w:r>
          </w:p>
        </w:tc>
        <w:tc>
          <w:tcPr>
            <w:tcW w:type="dxa" w:w="1728"/>
          </w:tcPr>
          <w:p>
            <w:r>
              <w:rPr>
                <w:rFonts w:ascii="Calibri" w:hAnsi="Calibri"/>
                <w:sz w:val="22"/>
              </w:rPr>
              <w:t>Prior guidance unchanged ex-Port Arthur; Port Arthur capex expected to be covered by insurance (subject to deductibles); updated guidance pending definitive cost estimate</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Watch for Port Arthur rebuild cost/timeline update on Q2 call</w:t>
            </w:r>
          </w:p>
        </w:tc>
      </w:tr>
      <w:tr>
        <w:tc>
          <w:tcPr>
            <w:tcW w:type="dxa" w:w="1728"/>
          </w:tcPr>
          <w:p>
            <w:r>
              <w:rPr>
                <w:rFonts w:ascii="Calibri" w:hAnsi="Calibri"/>
                <w:sz w:val="22"/>
              </w:rPr>
              <w:t>Share Repurchase Authorization</w:t>
            </w:r>
          </w:p>
        </w:tc>
        <w:tc>
          <w:tcPr>
            <w:tcW w:type="dxa" w:w="1728"/>
          </w:tcPr>
          <w:p>
            <w:r>
              <w:rPr>
                <w:rFonts w:ascii="Calibri" w:hAnsi="Calibri"/>
                <w:sz w:val="22"/>
              </w:rPr>
              <w:t>February 2026 Program: $2.5B authorized; $1.4B remaining as of June 30, 2026</w:t>
            </w:r>
          </w:p>
        </w:tc>
        <w:tc>
          <w:tcPr>
            <w:tcW w:type="dxa" w:w="1728"/>
          </w:tcPr>
          <w:p>
            <w:r>
              <w:rPr>
                <w:rFonts w:ascii="Calibri" w:hAnsi="Calibri"/>
                <w:sz w:val="22"/>
              </w:rPr>
              <w:t>↑ New $5.0B authorization added July 16, 2026 (8-K filing)</w:t>
            </w:r>
          </w:p>
        </w:tc>
        <w:tc>
          <w:tcPr>
            <w:tcW w:type="dxa" w:w="1728"/>
          </w:tcPr>
          <w:p>
            <w:r>
              <w:rPr>
                <w:rFonts w:ascii="Calibri" w:hAnsi="Calibri"/>
                <w:sz w:val="22"/>
              </w:rPr>
              <w:t>N/A</w:t>
            </w:r>
          </w:p>
        </w:tc>
        <w:tc>
          <w:tcPr>
            <w:tcW w:type="dxa" w:w="1728"/>
          </w:tcPr>
          <w:p>
            <w:r>
              <w:rPr>
                <w:rFonts w:ascii="Calibri" w:hAnsi="Calibri"/>
                <w:sz w:val="22"/>
              </w:rPr>
              <w:t>↑ Raised: New $5B program authorized July 16, 2026 — in addition to $1.4B remaining under Feb 2026 program; signals strong FCF confidence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sharply higher since the Q1 2026 print — Q2 2026 EPS consensus surged from $3.17 (post-Q1 baseline) to $10.08 today (+218%), and FY 2026 EPS from $28.32 to $34.41 (+21%) — reflecting the market’s belated recognition of the Iran-driven margin environment. The revision trajectory is one of the most aggressive in the sector and represents a high but arguably still-achievable bar given the macro backdrop.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7,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$9.49</w:t>
            </w:r>
          </w:p>
        </w:tc>
        <w:tc>
          <w:tcPr>
            <w:tcW w:type="dxa" w:w="1080"/>
          </w:tcPr>
          <w:p>
            <w:r>
              <w:rPr>
                <w:rFonts w:ascii="Calibri" w:hAnsi="Calibri"/>
                <w:sz w:val="22"/>
              </w:rPr>
              <w:t>$10.08</w:t>
            </w:r>
          </w:p>
        </w:tc>
        <w:tc>
          <w:tcPr>
            <w:tcW w:type="dxa" w:w="1080"/>
          </w:tcPr>
          <w:p>
            <w:r>
              <w:rPr>
                <w:rFonts w:ascii="Calibri" w:hAnsi="Calibri"/>
                <w:b/>
                <w:color w:val="30A46C"/>
                <w:sz w:val="22"/>
              </w:rPr>
              <w:t>+6.2%</w:t>
            </w:r>
          </w:p>
        </w:tc>
        <w:tc>
          <w:tcPr>
            <w:tcW w:type="dxa" w:w="1080"/>
          </w:tcPr>
          <w:p>
            <w:r>
              <w:rPr>
                <w:rFonts w:ascii="Calibri" w:hAnsi="Calibri"/>
                <w:sz w:val="22"/>
              </w:rPr>
              <w:t>No specific EPS guidance</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 2026)</w:t>
            </w:r>
          </w:p>
        </w:tc>
        <w:tc>
          <w:tcPr>
            <w:tcW w:type="dxa" w:w="1080"/>
          </w:tcPr>
          <w:p>
            <w:r>
              <w:rPr>
                <w:rFonts w:ascii="Calibri" w:hAnsi="Calibri"/>
                <w:sz w:val="22"/>
              </w:rPr>
              <w:t>$28.32</w:t>
            </w:r>
          </w:p>
        </w:tc>
        <w:tc>
          <w:tcPr>
            <w:tcW w:type="dxa" w:w="1080"/>
          </w:tcPr>
          <w:p>
            <w:r>
              <w:rPr>
                <w:rFonts w:ascii="Calibri" w:hAnsi="Calibri"/>
                <w:sz w:val="22"/>
              </w:rPr>
              <w:t>$34.41</w:t>
            </w:r>
          </w:p>
        </w:tc>
        <w:tc>
          <w:tcPr>
            <w:tcW w:type="dxa" w:w="1080"/>
          </w:tcPr>
          <w:p>
            <w:r>
              <w:rPr>
                <w:rFonts w:ascii="Calibri" w:hAnsi="Calibri"/>
                <w:b/>
                <w:color w:val="30A46C"/>
                <w:sz w:val="22"/>
              </w:rPr>
              <w:t>+21.5%</w:t>
            </w:r>
          </w:p>
        </w:tc>
        <w:tc>
          <w:tcPr>
            <w:tcW w:type="dxa" w:w="1080"/>
          </w:tcPr>
          <w:p>
            <w:r>
              <w:rPr>
                <w:rFonts w:ascii="Calibri" w:hAnsi="Calibri"/>
                <w:sz w:val="22"/>
              </w:rPr>
              <w:t>No specific EPS guidance</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Refining EBITDA (Q2 2026)</w:t>
            </w:r>
          </w:p>
        </w:tc>
        <w:tc>
          <w:tcPr>
            <w:tcW w:type="dxa" w:w="1080"/>
          </w:tcPr>
          <w:p>
            <w:r>
              <w:rPr>
                <w:rFonts w:ascii="Calibri" w:hAnsi="Calibri"/>
                <w:sz w:val="22"/>
              </w:rPr>
              <w:t>$3,911M</w:t>
            </w:r>
          </w:p>
        </w:tc>
        <w:tc>
          <w:tcPr>
            <w:tcW w:type="dxa" w:w="1080"/>
          </w:tcPr>
          <w:p>
            <w:r>
              <w:rPr>
                <w:rFonts w:ascii="Calibri" w:hAnsi="Calibri"/>
                <w:sz w:val="22"/>
              </w:rPr>
              <w:t>$4,383M</w:t>
            </w:r>
          </w:p>
        </w:tc>
        <w:tc>
          <w:tcPr>
            <w:tcW w:type="dxa" w:w="1080"/>
          </w:tcPr>
          <w:p>
            <w:r>
              <w:rPr>
                <w:rFonts w:ascii="Calibri" w:hAnsi="Calibri"/>
                <w:b/>
                <w:color w:val="30A46C"/>
                <w:sz w:val="22"/>
              </w:rPr>
              <w:t>+12.1%</w:t>
            </w:r>
          </w:p>
        </w:tc>
        <w:tc>
          <w:tcPr>
            <w:tcW w:type="dxa" w:w="1080"/>
          </w:tcPr>
          <w:p>
            <w:r>
              <w:rPr>
                <w:rFonts w:ascii="Calibri" w:hAnsi="Calibri"/>
                <w:sz w:val="22"/>
              </w:rPr>
              <w:t>No specific EBITDA guidance</w:t>
            </w:r>
          </w:p>
        </w:tc>
        <w:tc>
          <w:tcPr>
            <w:tcW w:type="dxa" w:w="1080"/>
          </w:tcPr>
          <w:p>
            <w:r>
              <w:rPr>
                <w:rFonts w:ascii="Calibri" w:hAnsi="Calibri"/>
                <w:sz w:val="22"/>
              </w:rPr>
              <w:t>No specific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Refining EBITDA (FY 2026)</w:t>
            </w:r>
          </w:p>
        </w:tc>
        <w:tc>
          <w:tcPr>
            <w:tcW w:type="dxa" w:w="1080"/>
          </w:tcPr>
          <w:p>
            <w:r>
              <w:rPr>
                <w:rFonts w:ascii="Calibri" w:hAnsi="Calibri"/>
                <w:sz w:val="22"/>
              </w:rPr>
              <w:t>$12,665M</w:t>
            </w:r>
          </w:p>
        </w:tc>
        <w:tc>
          <w:tcPr>
            <w:tcW w:type="dxa" w:w="1080"/>
          </w:tcPr>
          <w:p>
            <w:r>
              <w:rPr>
                <w:rFonts w:ascii="Calibri" w:hAnsi="Calibri"/>
                <w:sz w:val="22"/>
              </w:rPr>
              <w:t>$15,320M</w:t>
            </w:r>
          </w:p>
        </w:tc>
        <w:tc>
          <w:tcPr>
            <w:tcW w:type="dxa" w:w="1080"/>
          </w:tcPr>
          <w:p>
            <w:r>
              <w:rPr>
                <w:rFonts w:ascii="Calibri" w:hAnsi="Calibri"/>
                <w:b/>
                <w:color w:val="30A46C"/>
                <w:sz w:val="22"/>
              </w:rPr>
              <w:t>+21.0%</w:t>
            </w:r>
          </w:p>
        </w:tc>
        <w:tc>
          <w:tcPr>
            <w:tcW w:type="dxa" w:w="1080"/>
          </w:tcPr>
          <w:p>
            <w:r>
              <w:rPr>
                <w:rFonts w:ascii="Calibri" w:hAnsi="Calibri"/>
                <w:sz w:val="22"/>
              </w:rPr>
              <w:t>No specific EBITDA guidance</w:t>
            </w:r>
          </w:p>
        </w:tc>
        <w:tc>
          <w:tcPr>
            <w:tcW w:type="dxa" w:w="1080"/>
          </w:tcPr>
          <w:p>
            <w:r>
              <w:rPr>
                <w:rFonts w:ascii="Calibri" w:hAnsi="Calibri"/>
                <w:sz w:val="22"/>
              </w:rPr>
              <w:t>No specific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Revenues (Q2 2026)</w:t>
            </w:r>
          </w:p>
        </w:tc>
        <w:tc>
          <w:tcPr>
            <w:tcW w:type="dxa" w:w="1080"/>
          </w:tcPr>
          <w:p>
            <w:r>
              <w:rPr>
                <w:rFonts w:ascii="Calibri" w:hAnsi="Calibri"/>
                <w:sz w:val="22"/>
              </w:rPr>
              <w:t>$37.7B</w:t>
            </w:r>
          </w:p>
        </w:tc>
        <w:tc>
          <w:tcPr>
            <w:tcW w:type="dxa" w:w="1080"/>
          </w:tcPr>
          <w:p>
            <w:r>
              <w:rPr>
                <w:rFonts w:ascii="Calibri" w:hAnsi="Calibri"/>
                <w:sz w:val="22"/>
              </w:rPr>
              <w:t>$39.1B</w:t>
            </w:r>
          </w:p>
        </w:tc>
        <w:tc>
          <w:tcPr>
            <w:tcW w:type="dxa" w:w="1080"/>
          </w:tcPr>
          <w:p>
            <w:r>
              <w:rPr>
                <w:rFonts w:ascii="Calibri" w:hAnsi="Calibri"/>
                <w:b/>
                <w:color w:val="30A46C"/>
                <w:sz w:val="22"/>
              </w:rPr>
              <w:t>+3.7%</w:t>
            </w:r>
          </w:p>
        </w:tc>
        <w:tc>
          <w:tcPr>
            <w:tcW w:type="dxa" w:w="1080"/>
          </w:tcPr>
          <w:p>
            <w:r>
              <w:rPr>
                <w:rFonts w:ascii="Calibri" w:hAnsi="Calibri"/>
                <w:sz w:val="22"/>
              </w:rPr>
              <w:t>No specific revenue guidance</w:t>
            </w:r>
          </w:p>
        </w:tc>
        <w:tc>
          <w:tcPr>
            <w:tcW w:type="dxa" w:w="1080"/>
          </w:tcPr>
          <w:p>
            <w:r>
              <w:rPr>
                <w:rFonts w:ascii="Calibri" w:hAnsi="Calibri"/>
                <w:sz w:val="22"/>
              </w:rPr>
              <w:t>No specific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Revenues (FY 2026)</w:t>
            </w:r>
          </w:p>
        </w:tc>
        <w:tc>
          <w:tcPr>
            <w:tcW w:type="dxa" w:w="1080"/>
          </w:tcPr>
          <w:p>
            <w:r>
              <w:rPr>
                <w:rFonts w:ascii="Calibri" w:hAnsi="Calibri"/>
                <w:sz w:val="22"/>
              </w:rPr>
              <w:t>$131.4B</w:t>
            </w:r>
          </w:p>
        </w:tc>
        <w:tc>
          <w:tcPr>
            <w:tcW w:type="dxa" w:w="1080"/>
          </w:tcPr>
          <w:p>
            <w:r>
              <w:rPr>
                <w:rFonts w:ascii="Calibri" w:hAnsi="Calibri"/>
                <w:sz w:val="22"/>
              </w:rPr>
              <w:t>$138.2B</w:t>
            </w:r>
          </w:p>
        </w:tc>
        <w:tc>
          <w:tcPr>
            <w:tcW w:type="dxa" w:w="1080"/>
          </w:tcPr>
          <w:p>
            <w:r>
              <w:rPr>
                <w:rFonts w:ascii="Calibri" w:hAnsi="Calibri"/>
                <w:b/>
                <w:color w:val="30A46C"/>
                <w:sz w:val="22"/>
              </w:rPr>
              <w:t>+5.2%</w:t>
            </w:r>
          </w:p>
        </w:tc>
        <w:tc>
          <w:tcPr>
            <w:tcW w:type="dxa" w:w="1080"/>
          </w:tcPr>
          <w:p>
            <w:r>
              <w:rPr>
                <w:rFonts w:ascii="Calibri" w:hAnsi="Calibri"/>
                <w:sz w:val="22"/>
              </w:rPr>
              <w:t>No specific revenue guidance</w:t>
            </w:r>
          </w:p>
        </w:tc>
        <w:tc>
          <w:tcPr>
            <w:tcW w:type="dxa" w:w="1080"/>
          </w:tcPr>
          <w:p>
            <w:r>
              <w:rPr>
                <w:rFonts w:ascii="Calibri" w:hAnsi="Calibri"/>
                <w:sz w:val="22"/>
              </w:rPr>
              <w:t>No specific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Refining Throughput — Total (Q2 2026)</w:t>
            </w:r>
          </w:p>
        </w:tc>
        <w:tc>
          <w:tcPr>
            <w:tcW w:type="dxa" w:w="1080"/>
          </w:tcPr>
          <w:p>
            <w:r>
              <w:rPr>
                <w:rFonts w:ascii="Calibri" w:hAnsi="Calibri"/>
                <w:sz w:val="22"/>
              </w:rPr>
              <w:t>2,806 Mbpd</w:t>
            </w:r>
          </w:p>
        </w:tc>
        <w:tc>
          <w:tcPr>
            <w:tcW w:type="dxa" w:w="1080"/>
          </w:tcPr>
          <w:p>
            <w:r>
              <w:rPr>
                <w:rFonts w:ascii="Calibri" w:hAnsi="Calibri"/>
                <w:sz w:val="22"/>
              </w:rPr>
              <w:t>2,811 Mbpd</w:t>
            </w:r>
          </w:p>
        </w:tc>
        <w:tc>
          <w:tcPr>
            <w:tcW w:type="dxa" w:w="1080"/>
          </w:tcPr>
          <w:p>
            <w:r>
              <w:rPr>
                <w:rFonts w:ascii="Calibri" w:hAnsi="Calibri"/>
                <w:sz w:val="22"/>
              </w:rPr>
              <w:t>+0.2%</w:t>
            </w:r>
          </w:p>
        </w:tc>
        <w:tc>
          <w:tcPr>
            <w:tcW w:type="dxa" w:w="1080"/>
          </w:tcPr>
          <w:p>
            <w:r>
              <w:rPr>
                <w:rFonts w:ascii="Calibri" w:hAnsi="Calibri"/>
                <w:sz w:val="22"/>
              </w:rPr>
              <w:t>~2,740–2,840 Mbpd (implied from regional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~+1% above guidance midpoint</w:t>
            </w:r>
          </w:p>
        </w:tc>
      </w:tr>
    </w:tbl>
    <w:p>
      <w:r>
        <w:rPr>
          <w:rFonts w:ascii="Calibri" w:hAnsi="Calibri"/>
          <w:b/>
          <w:color w:val="525866"/>
          <w:sz w:val="22"/>
        </w:rPr>
        <w:t xml:space="preserve">Source: </w:t>
      </w:r>
      <w:r>
        <w:rPr>
          <w:rFonts w:ascii="Calibri" w:hAnsi="Calibri"/>
          <w:color w:val="525866"/>
          <w:sz w:val="22"/>
        </w:rPr>
        <w:t>All consensus estimates from Visible Alpha Consensus and Actuals Data. Post-Q1 baseline (May 7, 2026) represents consensus as of approximately 5 trading days after the April 30, 2026 earnings release. Guidance from VLO Q1 2026 Earnings Call transcript (April 30, 2026). Note: VLO does not provide explicit EPS, EBITDA, or revenue guidance; throughput and opex are the primary guided metrics.</w:t>
      </w:r>
    </w:p>
    <w:p>
      <w:r>
        <w:rPr>
          <w:rFonts w:ascii="Calibri" w:hAnsi="Calibri"/>
          <w:b/>
          <w:color w:val="525866"/>
          <w:sz w:val="22"/>
        </w:rPr>
        <w:t xml:space="preserve">Commentary: </w:t>
      </w:r>
      <w:r>
        <w:rPr>
          <w:rFonts w:ascii="Calibri" w:hAnsi="Calibri"/>
          <w:color w:val="525866"/>
          <w:sz w:val="22"/>
        </w:rPr>
        <w:t>The magnitude of upward EPS and EBITDA revisions since the Q1 print (+6% for Q2 EPS, +21% for FY EPS) reflects the market’s continued repricing of the Iran-driven margin environment. Throughput estimates have been essentially flat since the Q1 print, consistent with management’s explicit guidance. The gap between EPS revision magnitude (+21% FY) and throughput revision magnitude (~flat) confirms that the earnings upgrade cycle has been margin-driven, not volume-driven — making crack spread sustainability the key variable for the Q2 print and beyond.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VLO has surged ~19% since the Q1 2026 earnings print (April 30) vs. XLE +≈1% and SPY +2%, driven almost entirely by earnings revisions rather than multiple expansion — NTM EV/EBITDA has actually compressed from ~8.6x (6 months ago) to ~7.1x today, meaning the stock is cheaper on a forward multiple basis despite the massive price appreciation. The re-rating is durable as long as the margin environment holds.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VLO vs. XLE vs. S&amp;P 500 — Indexed to 100 at Q1 2026 Earnings (April 30, 2026). VLO: +19.3%; XLE: -1.7%; SPY: +1.5% through July 30, 2026. Sector ETF: XLE (Energy Select Sector SPDR Fund). Key event marked: July 16, 2026 — Board approves new $5B share repurchase program.</w:t>
      </w:r>
    </w:p>
    <w:p>
      <w:r>
        <w:rPr>
          <w:rFonts w:ascii="Calibri" w:hAnsi="Calibri"/>
          <w:b/>
          <w:color w:val="525866"/>
          <w:sz w:val="22"/>
        </w:rPr>
        <w:t xml:space="preserve">Performance Detail: </w:t>
      </w:r>
      <w:r>
        <w:rPr>
          <w:rFonts w:ascii="Calibri" w:hAnsi="Calibri"/>
          <w:color w:val="525866"/>
          <w:sz w:val="22"/>
        </w:rPr>
        <w:t>VLO opened the post-earnings period at $252.58 (April 30, 2026) and reached $314.80 on July 21 before pulling back modestly to $301.32 on July 30. The stock’s outperformance vs. XLE is striking — XLE was essentially flat over the same period — confirming that VLO’s move is company-specific (earnings revision-driven) rather than a sector-wide energy rally. Over the trailing 12 months, VLO is up ~108%, with the 6-month NTM EV/EBITDA multiple compressing from 8.59x to 7.08x, meaning the entire price appreciation has been earnings-driven with multiple compression acting as a headwind.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16 announcement of a new $5 billion share repurchase authorization — the largest in company history — which signals management’s high conviction in sustained free cash flow generation and is a direct positive read-through for the Q2 print and capital return outlook.</w:t>
      </w:r>
    </w:p>
    <w:p>
      <w:pPr>
        <w:pStyle w:val="ListBullet"/>
        <w:ind w:left="360" w:hanging="360"/>
      </w:pPr>
      <w:r>
        <w:rPr>
          <w:rFonts w:ascii="Calibri" w:hAnsi="Calibri"/>
          <w:b/>
          <w:color w:val="525866"/>
          <w:sz w:val="22"/>
        </w:rPr>
        <w:t xml:space="preserve">July 16, 2026 — Board Approves New $5 Billion Share Repurchase Program (8-K Filing): </w:t>
      </w:r>
      <w:r>
        <w:rPr>
          <w:rFonts w:ascii="Calibri" w:hAnsi="Calibri"/>
          <w:color w:val="525866"/>
          <w:sz w:val="22"/>
        </w:rPr>
        <w:t xml:space="preserve">Valero’s Board authorized a new $5.0 billion share repurchase program with no expiration date, in addition to the $1.4 billion remaining under the February 2026 program (as of June 30, 2026). Total buyback capacity now stands at ~$6.4 billion. </w:t>
      </w:r>
    </w:p>
    <w:p>
      <w:pPr>
        <w:pStyle w:val="ListBullet"/>
        <w:ind w:left="360" w:hanging="360"/>
      </w:pPr>
      <w:r>
        <w:rPr>
          <w:rFonts w:ascii="Calibri" w:hAnsi="Calibri"/>
          <w:i/>
          <w:color w:val="525866"/>
          <w:sz w:val="22"/>
        </w:rPr>
        <w:t xml:space="preserve">Implication: </w:t>
      </w:r>
      <w:r>
        <w:rPr>
          <w:rFonts w:ascii="Calibri" w:hAnsi="Calibri"/>
          <w:color w:val="525866"/>
          <w:sz w:val="22"/>
        </w:rPr>
        <w:t>This is the single most important post-Q1 capital allocation signal. The timing — two weeks before Q2 earnings — strongly implies management has high visibility into Q2 free cash flow and is confident in the sustainability of the current margin environment. Historically, large buyback authorizations ahead of earnings have been a positive leading indicator for VLO.</w:t>
      </w:r>
    </w:p>
    <w:p>
      <w:pPr>
        <w:pStyle w:val="ListBullet"/>
        <w:ind w:left="360" w:hanging="360"/>
      </w:pPr>
      <w:r>
        <w:rPr>
          <w:rFonts w:ascii="Calibri" w:hAnsi="Calibri"/>
          <w:b/>
          <w:color w:val="525866"/>
          <w:sz w:val="22"/>
        </w:rPr>
        <w:t xml:space="preserve">May 8, 2026 — Senior VP Eric Fisher Retirement Announced (8-K Filing): </w:t>
      </w:r>
      <w:r>
        <w:rPr>
          <w:rFonts w:ascii="Calibri" w:hAnsi="Calibri"/>
          <w:color w:val="525866"/>
          <w:sz w:val="22"/>
        </w:rPr>
        <w:t xml:space="preserve">Valero disclosed that Senior VP Eric Fisher will retire. </w:t>
      </w:r>
    </w:p>
    <w:p>
      <w:pPr>
        <w:pStyle w:val="ListBullet"/>
        <w:ind w:left="360" w:hanging="360"/>
      </w:pPr>
      <w:r>
        <w:rPr>
          <w:rFonts w:ascii="Calibri" w:hAnsi="Calibri"/>
          <w:i/>
          <w:color w:val="525866"/>
          <w:sz w:val="22"/>
        </w:rPr>
        <w:t xml:space="preserve">Implication: </w:t>
      </w:r>
      <w:r>
        <w:rPr>
          <w:rFonts w:ascii="Calibri" w:hAnsi="Calibri"/>
          <w:color w:val="525866"/>
          <w:sz w:val="22"/>
        </w:rPr>
        <w:t>Routine leadership transition; no operational or strategic implications flagged. Fisher has been selling shares in an orderly fashion under 10b5-1 plans (see Insider Activity section).</w:t>
      </w:r>
    </w:p>
    <w:p>
      <w:pPr>
        <w:pStyle w:val="ListBullet"/>
        <w:ind w:left="360" w:hanging="360"/>
      </w:pPr>
      <w:r>
        <w:rPr>
          <w:rFonts w:ascii="Calibri" w:hAnsi="Calibri"/>
          <w:b/>
          <w:color w:val="525866"/>
          <w:sz w:val="22"/>
        </w:rPr>
        <w:t xml:space="preserve">April 30, 2026 — Q1 2026 Earnings Beat &amp; Q2 Guidance (Earnings Call): </w:t>
      </w:r>
      <w:r>
        <w:rPr>
          <w:rFonts w:ascii="Calibri" w:hAnsi="Calibri"/>
          <w:color w:val="525866"/>
          <w:sz w:val="22"/>
        </w:rPr>
        <w:t xml:space="preserve">VLO reported Q1 2026 adjusted EPS of $4.22 vs. consensus of $3.17 (+33% beat). Management guided Q2 throughput, opex, and segment volumes (see Guidance section). Key highlights: Iran conflict driving “demand significantly outpacing supply”; record jet yield in March; Port Arthur fire (March 23) largely contained with throughput expected to normalize by May 1 (ex-diesel hydrotreater). </w:t>
      </w:r>
    </w:p>
    <w:p>
      <w:pPr>
        <w:pStyle w:val="ListBullet"/>
        <w:ind w:left="360" w:hanging="360"/>
      </w:pPr>
      <w:r>
        <w:rPr>
          <w:rFonts w:ascii="Calibri" w:hAnsi="Calibri"/>
          <w:i/>
          <w:color w:val="525866"/>
          <w:sz w:val="22"/>
        </w:rPr>
        <w:t xml:space="preserve">Implication: </w:t>
      </w:r>
      <w:r>
        <w:rPr>
          <w:rFonts w:ascii="Calibri" w:hAnsi="Calibri"/>
          <w:color w:val="525866"/>
          <w:sz w:val="22"/>
        </w:rPr>
        <w:t>The Q1 beat set the stage for the massive estimate revision cycle that has driven the stock +19% since the print.</w:t>
      </w:r>
    </w:p>
    <w:p>
      <w:pPr>
        <w:pStyle w:val="ListBullet"/>
        <w:ind w:left="360" w:hanging="360"/>
      </w:pPr>
      <w:r>
        <w:rPr>
          <w:rFonts w:ascii="Calibri" w:hAnsi="Calibri"/>
          <w:b/>
          <w:color w:val="525866"/>
          <w:sz w:val="22"/>
        </w:rPr>
        <w:t xml:space="preserve">April 2026 — Benicia Refinery Idling Completed: </w:t>
      </w:r>
      <w:r>
        <w:rPr>
          <w:rFonts w:ascii="Calibri" w:hAnsi="Calibri"/>
          <w:color w:val="525866"/>
          <w:sz w:val="22"/>
        </w:rPr>
        <w:t xml:space="preserve">Valero completed the idling of processing units and cessation of refining operations at its Benicia, CA refinery as planned. West Coast throughput guidance of 120–130 Mbpd for Q2 reflects the reduced footprint. </w:t>
      </w:r>
    </w:p>
    <w:p>
      <w:pPr>
        <w:pStyle w:val="ListBullet"/>
        <w:ind w:left="360" w:hanging="360"/>
      </w:pPr>
      <w:r>
        <w:rPr>
          <w:rFonts w:ascii="Calibri" w:hAnsi="Calibri"/>
          <w:i/>
          <w:color w:val="525866"/>
          <w:sz w:val="22"/>
        </w:rPr>
        <w:t xml:space="preserve">Implication: </w:t>
      </w:r>
      <w:r>
        <w:rPr>
          <w:rFonts w:ascii="Calibri" w:hAnsi="Calibri"/>
          <w:color w:val="525866"/>
          <w:sz w:val="22"/>
        </w:rPr>
        <w:t>Removes a structurally challenged asset from the portfolio; incremental D&amp;A of ~$33M in Q2 (through April only) creates a modest one-time headwind of ~$0.09/share.</w:t>
      </w:r>
    </w:p>
    <w:p>
      <w:pPr>
        <w:pStyle w:val="ListBullet"/>
        <w:ind w:left="360" w:hanging="360"/>
      </w:pPr>
      <w:r>
        <w:rPr>
          <w:rFonts w:ascii="Calibri" w:hAnsi="Calibri"/>
          <w:b/>
          <w:color w:val="525866"/>
          <w:sz w:val="22"/>
        </w:rPr>
        <w:t xml:space="preserve">March 2026 — $850M Debt Issuance at Record-Low Sector Spread: </w:t>
      </w:r>
      <w:r>
        <w:rPr>
          <w:rFonts w:ascii="Calibri" w:hAnsi="Calibri"/>
          <w:color w:val="525866"/>
          <w:sz w:val="22"/>
        </w:rPr>
        <w:t xml:space="preserve">Valero issued $850M of 10-year Notes at 5.15% coupon, pricing at a refining sector record-low 10-year spread of 102 bps over Treasuries. </w:t>
      </w:r>
    </w:p>
    <w:p>
      <w:pPr>
        <w:pStyle w:val="ListBullet"/>
        <w:ind w:left="360" w:hanging="360"/>
      </w:pPr>
      <w:r>
        <w:rPr>
          <w:rFonts w:ascii="Calibri" w:hAnsi="Calibri"/>
          <w:i/>
          <w:color w:val="525866"/>
          <w:sz w:val="22"/>
        </w:rPr>
        <w:t xml:space="preserve">Implication: </w:t>
      </w:r>
      <w:r>
        <w:rPr>
          <w:rFonts w:ascii="Calibri" w:hAnsi="Calibri"/>
          <w:color w:val="525866"/>
          <w:sz w:val="22"/>
        </w:rPr>
        <w:t>Demonstrates exceptional credit quality and market confidence in VLO’s balance sheet; de-risks upcoming debt maturities and preserves financial flexibility.</w:t>
      </w:r>
    </w:p>
    <w:p>
      <w:pPr>
        <w:pStyle w:val="ListBullet"/>
        <w:ind w:left="360" w:hanging="360"/>
      </w:pPr>
      <w:r>
        <w:rPr>
          <w:rFonts w:ascii="Calibri" w:hAnsi="Calibri"/>
          <w:b/>
          <w:color w:val="525866"/>
          <w:sz w:val="22"/>
        </w:rPr>
        <w:t xml:space="preserve">March 23, 2026 — Port Arthur Refinery Fire (Diesel Hydrotreater): </w:t>
      </w:r>
      <w:r>
        <w:rPr>
          <w:rFonts w:ascii="Calibri" w:hAnsi="Calibri"/>
          <w:color w:val="525866"/>
          <w:sz w:val="22"/>
        </w:rPr>
        <w:t xml:space="preserve">A fire in the diesel hydrotreater at Port Arthur caused a full refinery shutdown. The larger crude unit, FCC, and alky restarted by early May; the kerosene hydrotreater is expected back in Q3 2026; the diesel hydrotreater sustained “extensive damage” with no defined rebuild timeline. </w:t>
      </w:r>
    </w:p>
    <w:p>
      <w:pPr>
        <w:pStyle w:val="ListBullet"/>
        <w:ind w:left="360" w:hanging="360"/>
      </w:pPr>
      <w:r>
        <w:rPr>
          <w:rFonts w:ascii="Calibri" w:hAnsi="Calibri"/>
          <w:i/>
          <w:color w:val="525866"/>
          <w:sz w:val="22"/>
        </w:rPr>
        <w:t xml:space="preserve">Implication: </w:t>
      </w:r>
      <w:r>
        <w:rPr>
          <w:rFonts w:ascii="Calibri" w:hAnsi="Calibri"/>
          <w:color w:val="525866"/>
          <w:sz w:val="22"/>
        </w:rPr>
        <w:t>The diesel hydrotreater outage will negatively impact capture rates in Q2 (and potentially Q3/Q4). This is the primary downside risk to the Q2 print and the key item to watch on the earnings call.</w:t>
      </w:r>
    </w:p>
    <w:p>
      <w:pPr>
        <w:pStyle w:val="ListBullet"/>
        <w:ind w:left="360" w:hanging="360"/>
      </w:pPr>
      <w:r>
        <w:rPr>
          <w:rFonts w:ascii="Calibri" w:hAnsi="Calibri"/>
          <w:b/>
          <w:color w:val="525866"/>
          <w:sz w:val="22"/>
        </w:rPr>
        <w:t xml:space="preserve">January 22, 2026 — 6% Quarterly Dividend Increase: </w:t>
      </w:r>
      <w:r>
        <w:rPr>
          <w:rFonts w:ascii="Calibri" w:hAnsi="Calibri"/>
          <w:color w:val="525866"/>
          <w:sz w:val="22"/>
        </w:rPr>
        <w:t xml:space="preserve">Board approved a 6% increase to the quarterly cash dividend, reflecting strong financial position and commitment to a growing dividend. </w:t>
      </w:r>
    </w:p>
    <w:p>
      <w:pPr>
        <w:pStyle w:val="ListBullet"/>
        <w:ind w:left="360" w:hanging="360"/>
      </w:pPr>
      <w:r>
        <w:rPr>
          <w:rFonts w:ascii="Calibri" w:hAnsi="Calibri"/>
          <w:i/>
          <w:color w:val="525866"/>
          <w:sz w:val="22"/>
        </w:rPr>
        <w:t xml:space="preserve">Implication: </w:t>
      </w:r>
      <w:r>
        <w:rPr>
          <w:rFonts w:ascii="Calibri" w:hAnsi="Calibri"/>
          <w:color w:val="525866"/>
          <w:sz w:val="22"/>
        </w:rPr>
        <w:t>Consistent with VLO’s track record of growing dividends; reinforces the capital return narrative.</w:t>
      </w:r>
    </w:p>
    <w:p>
      <w:r>
        <w:br w:type="page"/>
      </w:r>
    </w:p>
    <w:p>
      <w:pPr>
        <w:pStyle w:val="Heading2"/>
      </w:pPr>
      <w:r>
        <w:rPr>
          <w:rFonts w:ascii="Calibri" w:hAnsi="Calibri"/>
          <w:b/>
          <w:color w:val="3B4259"/>
          <w:sz w:val="28"/>
        </w:rPr>
        <w:t>7. Peer Commentary Read-Through</w:t>
      </w:r>
    </w:p>
    <w:p>
      <w:r>
        <w:rPr>
          <w:rFonts w:ascii="Calibri" w:hAnsi="Calibri"/>
          <w:b/>
          <w:color w:val="525866"/>
          <w:sz w:val="22"/>
        </w:rPr>
        <w:t xml:space="preserve">Key Takeaway: </w:t>
      </w:r>
      <w:r>
        <w:rPr>
          <w:rFonts w:ascii="Calibri" w:hAnsi="Calibri"/>
          <w:color w:val="525866"/>
          <w:sz w:val="22"/>
        </w:rPr>
        <w:t>Peer commentary from the last 60 days is strongly positive for VLO’s Q2 2026 print — HF Sinclair’s Q2 2026 results (reported July 28) confirm the industry-wide margin environment was exceptional, with refinery gross margins up 57% YoY and renewable fuel economics materially improved; Phillips 66’s June 23 conference commentary corroborates the tight supply/demand backdrop and constructive renewable credit environment that management described on the Q1 call.</w:t>
      </w:r>
    </w:p>
    <w:p>
      <w:r>
        <w:rPr>
          <w:rFonts w:ascii="Calibri" w:hAnsi="Calibri"/>
          <w:b/>
          <w:color w:val="525866"/>
          <w:sz w:val="22"/>
        </w:rPr>
        <w:t xml:space="preserve">Scope &amp; Methodology: </w:t>
      </w:r>
      <w:r>
        <w:rPr>
          <w:rFonts w:ascii="Calibri" w:hAnsi="Calibri"/>
          <w:color w:val="525866"/>
          <w:sz w:val="22"/>
        </w:rPr>
        <w:t>This section includes only peer commentary dated within the 60 days prior to July 29, 2026 (i.e., on or after May 30, 2026) that pertains to Q2 2026 conditions or the current operating environment. Excluded: Q1 2025 earnings calls (prior-quarter results), Q4 2025 earnings calls (prior-quarter results), and any commentary that discusses historical quarters rather than current/forward conditions. MPC and PBF have not yet reported Q2 2026 results as of the preparation date.</w:t>
      </w:r>
    </w:p>
    <w:p>
      <w:pPr>
        <w:pStyle w:val="Heading3"/>
      </w:pPr>
      <w:r>
        <w:rPr>
          <w:rFonts w:ascii="Calibri" w:hAnsi="Calibri"/>
          <w:b/>
          <w:color w:val="3B4259"/>
          <w:sz w:val="24"/>
        </w:rPr>
        <w:t>Peer 1: HF Sinclair (DINO) — Q2 2026 Earnings Release (July 28, 2026)</w:t>
      </w:r>
    </w:p>
    <w:p>
      <w:r>
        <w:rPr>
          <w:rFonts w:ascii="Calibri" w:hAnsi="Calibri"/>
          <w:b/>
          <w:color w:val="525866"/>
          <w:sz w:val="22"/>
        </w:rPr>
        <w:t xml:space="preserve">Relevance: </w:t>
      </w:r>
      <w:r>
        <w:rPr>
          <w:rFonts w:ascii="Calibri" w:hAnsi="Calibri"/>
          <w:color w:val="525866"/>
          <w:sz w:val="22"/>
        </w:rPr>
        <w:t>DINO is a direct refining peer with significant Mid-Continent and West Coast exposure. Its Q2 2026 results (reported one day before VLO’s call) provide the most timely and directly comparable read-through available.</w:t>
      </w:r>
    </w:p>
    <w:p>
      <w:pPr>
        <w:pStyle w:val="ListBullet"/>
        <w:ind w:left="360" w:hanging="360"/>
      </w:pPr>
      <w:r>
        <w:rPr>
          <w:rFonts w:ascii="Calibri" w:hAnsi="Calibri"/>
          <w:b/>
          <w:color w:val="525866"/>
          <w:sz w:val="22"/>
        </w:rPr>
        <w:t xml:space="preserve">Refining Margins: </w:t>
      </w:r>
      <w:r>
        <w:rPr>
          <w:rFonts w:ascii="Calibri" w:hAnsi="Calibri"/>
          <w:color w:val="525866"/>
          <w:sz w:val="22"/>
        </w:rPr>
        <w:t>DINO’s Refining segment Adjusted EBITDA surged to $1,023M in Q2 2026 vs. $476M in Q2 2025 (+115% YoY). Adjusted refinery gross margin was $25.95/produced barrel sold, a 57% increase vs. $16.50 in Q2 2025. The improvement was “principally driven by strong refining margins and volumes in the Mid-Continent and West regions as a result of steady demand, tight supply and favorable crack spreads.”</w:t>
      </w:r>
    </w:p>
    <w:p>
      <w:pPr>
        <w:pStyle w:val="ListBullet"/>
        <w:ind w:left="360" w:hanging="360"/>
      </w:pPr>
      <w:r>
        <w:rPr>
          <w:rFonts w:ascii="Calibri" w:hAnsi="Calibri"/>
          <w:i/>
          <w:color w:val="525866"/>
          <w:sz w:val="22"/>
        </w:rPr>
        <w:t xml:space="preserve">VLO Read-Through: </w:t>
      </w:r>
      <w:r>
        <w:rPr>
          <w:rFonts w:ascii="Calibri" w:hAnsi="Calibri"/>
          <w:color w:val="525866"/>
          <w:sz w:val="22"/>
        </w:rPr>
        <w:t>The magnitude of DINO’s margin improvement — 57% YoY on gross margin per barrel — is a strong positive signal for VLO’s Gulf Coast-heavy system, which benefits from even wider heavy sour differentials. The “tight supply and favorable crack spreads” language directly corroborates the macro environment VLO management described on the Q1 call.</w:t>
      </w:r>
    </w:p>
    <w:p>
      <w:pPr>
        <w:pStyle w:val="ListBullet"/>
        <w:ind w:left="360" w:hanging="360"/>
      </w:pPr>
      <w:r>
        <w:rPr>
          <w:rFonts w:ascii="Calibri" w:hAnsi="Calibri"/>
          <w:b/>
          <w:color w:val="525866"/>
          <w:sz w:val="22"/>
        </w:rPr>
        <w:t xml:space="preserve">Throughput &amp; Utilization: </w:t>
      </w:r>
      <w:r>
        <w:rPr>
          <w:rFonts w:ascii="Calibri" w:hAnsi="Calibri"/>
          <w:color w:val="525866"/>
          <w:sz w:val="22"/>
        </w:rPr>
        <w:t>Consolidated crude charge averaged 639,680 BPD (+3.9% YoY); refinery utilization was 94.3% vs. 90.8% in Q2 2025. Mid-Continent utilization was 104.8%, West region 87.9%.</w:t>
      </w:r>
    </w:p>
    <w:p>
      <w:pPr>
        <w:pStyle w:val="ListBullet"/>
        <w:ind w:left="360" w:hanging="360"/>
      </w:pPr>
      <w:r>
        <w:rPr>
          <w:rFonts w:ascii="Calibri" w:hAnsi="Calibri"/>
          <w:i/>
          <w:color w:val="525866"/>
          <w:sz w:val="22"/>
        </w:rPr>
        <w:t xml:space="preserve">VLO Read-Through: </w:t>
      </w:r>
      <w:r>
        <w:rPr>
          <w:rFonts w:ascii="Calibri" w:hAnsi="Calibri"/>
          <w:color w:val="525866"/>
          <w:sz w:val="22"/>
        </w:rPr>
        <w:t>High utilization rates across DINO’s system suggest no major industry-wide operational disruptions in Q2 (beyond VLO’s known Port Arthur issue), which is constructive for VLO’s throughput guidance.</w:t>
      </w:r>
    </w:p>
    <w:p>
      <w:pPr>
        <w:pStyle w:val="ListBullet"/>
        <w:ind w:left="360" w:hanging="360"/>
      </w:pPr>
      <w:r>
        <w:rPr>
          <w:rFonts w:ascii="Calibri" w:hAnsi="Calibri"/>
          <w:b/>
          <w:color w:val="525866"/>
          <w:sz w:val="22"/>
        </w:rPr>
        <w:t xml:space="preserve">Renewable Fuels: </w:t>
      </w:r>
      <w:r>
        <w:rPr>
          <w:rFonts w:ascii="Calibri" w:hAnsi="Calibri"/>
          <w:color w:val="525866"/>
          <w:sz w:val="22"/>
        </w:rPr>
        <w:t>DINO’s Renewables segment Adjusted EBITDA was $123M in Q2 2026 vs. $(2)M in Q2 2025. Adjusted renewables gross margin was $2.46/produced gallon vs. $0.36 in Q2 2025. The improvement was attributed to “improved RINs prices, higher Producer’s Tax Credit (PTC) benefits and increased volumes.”</w:t>
      </w:r>
    </w:p>
    <w:p>
      <w:pPr>
        <w:pStyle w:val="ListBullet"/>
        <w:ind w:left="360" w:hanging="360"/>
      </w:pPr>
      <w:r>
        <w:rPr>
          <w:rFonts w:ascii="Calibri" w:hAnsi="Calibri"/>
          <w:i/>
          <w:color w:val="525866"/>
          <w:sz w:val="22"/>
        </w:rPr>
        <w:t xml:space="preserve">VLO Read-Through: </w:t>
      </w:r>
      <w:r>
        <w:rPr>
          <w:rFonts w:ascii="Calibri" w:hAnsi="Calibri"/>
          <w:color w:val="525866"/>
          <w:sz w:val="22"/>
        </w:rPr>
        <w:t>Directly positive for VLO’s Diamond Green Diesel (DGD) renewable diesel segment. Higher RINs prices and PTC benefits are industry-wide tailwinds that should benefit DGD’s Q2 margins, consistent with management’s Q1 call commentary that “higher margins expected in Q2 versus Q1 with RVO cited as a strong tailwind.”</w:t>
      </w:r>
    </w:p>
    <w:p>
      <w:pPr>
        <w:pStyle w:val="ListBullet"/>
        <w:ind w:left="360" w:hanging="360"/>
      </w:pPr>
      <w:r>
        <w:rPr>
          <w:rFonts w:ascii="Calibri" w:hAnsi="Calibri"/>
          <w:b/>
          <w:color w:val="525866"/>
          <w:sz w:val="22"/>
        </w:rPr>
        <w:t xml:space="preserve">Forward Outlook: </w:t>
      </w:r>
      <w:r>
        <w:rPr>
          <w:rFonts w:ascii="Calibri" w:hAnsi="Calibri"/>
          <w:color w:val="525866"/>
          <w:sz w:val="22"/>
        </w:rPr>
        <w:t>CEO Franklin Myers stated: “Looking forward, we believe the fundamentals that drove strong second quarter results across each of our business segments will persist in the third quarter, providing a positive backdrop as we move through the remainder of the year.”</w:t>
      </w:r>
    </w:p>
    <w:p>
      <w:pPr>
        <w:pStyle w:val="ListBullet"/>
        <w:ind w:left="360" w:hanging="360"/>
      </w:pPr>
      <w:r>
        <w:rPr>
          <w:rFonts w:ascii="Calibri" w:hAnsi="Calibri"/>
          <w:i/>
          <w:color w:val="525866"/>
          <w:sz w:val="22"/>
        </w:rPr>
        <w:t xml:space="preserve">VLO Read-Through: </w:t>
      </w:r>
      <w:r>
        <w:rPr>
          <w:rFonts w:ascii="Calibri" w:hAnsi="Calibri"/>
          <w:color w:val="525866"/>
          <w:sz w:val="22"/>
        </w:rPr>
        <w:t>Bullish signal for VLO’s Q3 2026 setup as well; management confidence in sustained favorable conditions is consistent with VLO’s own view that “the back end of the curve is undervalued.”</w:t>
      </w:r>
    </w:p>
    <w:p>
      <w:pPr>
        <w:pStyle w:val="Heading3"/>
      </w:pPr>
      <w:r>
        <w:rPr>
          <w:rFonts w:ascii="Calibri" w:hAnsi="Calibri"/>
          <w:b/>
          <w:color w:val="3B4259"/>
          <w:sz w:val="24"/>
        </w:rPr>
        <w:t>Peer 2: Phillips 66 (PSX) — JP Morgan Natural Resources Conference (June 23, 2026)</w:t>
      </w:r>
    </w:p>
    <w:p>
      <w:r>
        <w:rPr>
          <w:rFonts w:ascii="Calibri" w:hAnsi="Calibri"/>
          <w:b/>
          <w:color w:val="525866"/>
          <w:sz w:val="22"/>
        </w:rPr>
        <w:t xml:space="preserve">Relevance: </w:t>
      </w:r>
      <w:r>
        <w:rPr>
          <w:rFonts w:ascii="Calibri" w:hAnsi="Calibri"/>
          <w:color w:val="525866"/>
          <w:sz w:val="22"/>
        </w:rPr>
        <w:t>PSX is a major integrated refining and midstream peer with significant Gulf Coast and Mid-Continent exposure. The June 23 conference commentary is within the 60-day window and explicitly discusses Q2 2026 market conditions.</w:t>
      </w:r>
    </w:p>
    <w:p>
      <w:pPr>
        <w:pStyle w:val="ListBullet"/>
        <w:ind w:left="360" w:hanging="360"/>
      </w:pPr>
      <w:r>
        <w:rPr>
          <w:rFonts w:ascii="Calibri" w:hAnsi="Calibri"/>
          <w:b/>
          <w:color w:val="525866"/>
          <w:sz w:val="22"/>
        </w:rPr>
        <w:t xml:space="preserve">Macro Supply/Demand &amp; Crack Spreads: </w:t>
      </w:r>
      <w:r>
        <w:rPr>
          <w:rFonts w:ascii="Calibri" w:hAnsi="Calibri"/>
          <w:color w:val="525866"/>
          <w:sz w:val="22"/>
        </w:rPr>
        <w:t>PSX management described the macro environment as “very constructive for refining margins in the near to medium term,” citing: (1) tight global refining capacity; (2) significant hits to the Russian refining complex; (3) potential for China to ramp back up; and (4) refined product margins “hanging in there” as crude prices come off. Margin indicators were described as “strengthening” with “strong jet demand.”</w:t>
      </w:r>
    </w:p>
    <w:p>
      <w:pPr>
        <w:pStyle w:val="ListBullet"/>
        <w:ind w:left="360" w:hanging="360"/>
      </w:pPr>
      <w:r>
        <w:rPr>
          <w:rFonts w:ascii="Calibri" w:hAnsi="Calibri"/>
          <w:i/>
          <w:color w:val="525866"/>
          <w:sz w:val="22"/>
        </w:rPr>
        <w:t xml:space="preserve">VLO Read-Through: </w:t>
      </w:r>
      <w:r>
        <w:rPr>
          <w:rFonts w:ascii="Calibri" w:hAnsi="Calibri"/>
          <w:color w:val="525866"/>
          <w:sz w:val="22"/>
        </w:rPr>
        <w:t>Directly corroborates VLO’s Q1 call commentary on the Iran-driven supply tightness and jet fuel demand surge. PSX’s observation that “refined product margins staying healthy as crude oil comes off” is particularly relevant for VLO’s Q2 capture rates.</w:t>
      </w:r>
    </w:p>
    <w:p>
      <w:pPr>
        <w:pStyle w:val="ListBullet"/>
        <w:ind w:left="360" w:hanging="360"/>
      </w:pPr>
      <w:r>
        <w:rPr>
          <w:rFonts w:ascii="Calibri" w:hAnsi="Calibri"/>
          <w:b/>
          <w:color w:val="525866"/>
          <w:sz w:val="22"/>
        </w:rPr>
        <w:t xml:space="preserve">Heavy Crude Differentials (WCS/Venezuelan): </w:t>
      </w:r>
      <w:r>
        <w:rPr>
          <w:rFonts w:ascii="Calibri" w:hAnsi="Calibri"/>
          <w:color w:val="525866"/>
          <w:sz w:val="22"/>
        </w:rPr>
        <w:t>PSX noted that Venezuelan crude availability is a “great dynamic” for Gulf Coast assets, but that WCS differentials “have tightened up” due to Canadian production disruptions (fires, floods). PSX expects differentials to “widen back out” as disruptions resolve, with the return of Middle Eastern crude expected to “put even more pressure on those differentials.”</w:t>
      </w:r>
    </w:p>
    <w:p>
      <w:pPr>
        <w:pStyle w:val="ListBullet"/>
        <w:ind w:left="360" w:hanging="360"/>
      </w:pPr>
      <w:r>
        <w:rPr>
          <w:rFonts w:ascii="Calibri" w:hAnsi="Calibri"/>
          <w:i/>
          <w:color w:val="525866"/>
          <w:sz w:val="22"/>
        </w:rPr>
        <w:t xml:space="preserve">VLO Read-Through: </w:t>
      </w:r>
      <w:r>
        <w:rPr>
          <w:rFonts w:ascii="Calibri" w:hAnsi="Calibri"/>
          <w:color w:val="525866"/>
          <w:sz w:val="22"/>
        </w:rPr>
        <w:t>Mixed signal for VLO’s heavy sour crude advantage. Near-term WCS tightening (due to Canadian disruptions) could modestly compress VLO’s heavy sour differential benefit in Q2, but the medium-term outlook for widening differentials (as Middle Eastern crude returns) is constructive for VLO’s high-complexity Gulf Coast system.</w:t>
      </w:r>
    </w:p>
    <w:p>
      <w:pPr>
        <w:pStyle w:val="ListBullet"/>
        <w:ind w:left="360" w:hanging="360"/>
      </w:pPr>
      <w:r>
        <w:rPr>
          <w:rFonts w:ascii="Calibri" w:hAnsi="Calibri"/>
          <w:b/>
          <w:color w:val="525866"/>
          <w:sz w:val="22"/>
        </w:rPr>
        <w:t xml:space="preserve">Renewable Fuels (Rodeo): </w:t>
      </w:r>
      <w:r>
        <w:rPr>
          <w:rFonts w:ascii="Calibri" w:hAnsi="Calibri"/>
          <w:color w:val="525866"/>
          <w:sz w:val="22"/>
        </w:rPr>
        <w:t>PSX’s Rodeo renewable fuels asset is “running over nameplate” with “renewable credit values significantly higher than 2025 levels.” The regulatory environment has “improved” in California and federal PTC is “constructive.” PSX is performing “at or above midcycle level” on Rodeo.</w:t>
      </w:r>
    </w:p>
    <w:p>
      <w:pPr>
        <w:pStyle w:val="ListBullet"/>
        <w:ind w:left="360" w:hanging="360"/>
      </w:pPr>
      <w:r>
        <w:rPr>
          <w:rFonts w:ascii="Calibri" w:hAnsi="Calibri"/>
          <w:i/>
          <w:color w:val="525866"/>
          <w:sz w:val="22"/>
        </w:rPr>
        <w:t xml:space="preserve">VLO Read-Through: </w:t>
      </w:r>
      <w:r>
        <w:rPr>
          <w:rFonts w:ascii="Calibri" w:hAnsi="Calibri"/>
          <w:color w:val="525866"/>
          <w:sz w:val="22"/>
        </w:rPr>
        <w:t>Strongly positive for VLO’s DGD renewable diesel segment. Higher renewable credit values and improved regulatory environment are industry-wide tailwinds. PSX’s Rodeo outperformance suggests the renewable fuels margin environment in Q2 2026 was materially better than Q1 2026, consistent with VLO management’s Q1 call guidance.</w:t>
      </w:r>
    </w:p>
    <w:p>
      <w:pPr>
        <w:pStyle w:val="ListBullet"/>
        <w:ind w:left="360" w:hanging="360"/>
      </w:pPr>
      <w:r>
        <w:rPr>
          <w:rFonts w:ascii="Calibri" w:hAnsi="Calibri"/>
          <w:b/>
          <w:color w:val="525866"/>
          <w:sz w:val="22"/>
        </w:rPr>
        <w:t xml:space="preserve">Throughput &amp; Operations: </w:t>
      </w:r>
      <w:r>
        <w:rPr>
          <w:rFonts w:ascii="Calibri" w:hAnsi="Calibri"/>
          <w:color w:val="525866"/>
          <w:sz w:val="22"/>
        </w:rPr>
        <w:t>PSX has been able to “run at extraordinary rates” due to its refining kit being “in good shape for several years.” No major turnarounds or operational disruptions mentioned for Q2 2026.</w:t>
      </w:r>
    </w:p>
    <w:p>
      <w:pPr>
        <w:pStyle w:val="ListBullet"/>
        <w:ind w:left="360" w:hanging="360"/>
      </w:pPr>
      <w:r>
        <w:rPr>
          <w:rFonts w:ascii="Calibri" w:hAnsi="Calibri"/>
          <w:i/>
          <w:color w:val="525866"/>
          <w:sz w:val="22"/>
        </w:rPr>
        <w:t xml:space="preserve">VLO Read-Through: </w:t>
      </w:r>
      <w:r>
        <w:rPr>
          <w:rFonts w:ascii="Calibri" w:hAnsi="Calibri"/>
          <w:color w:val="525866"/>
          <w:sz w:val="22"/>
        </w:rPr>
        <w:t>Confirms the industry-wide operational environment was favorable in Q2 2026, with no systemic disruptions beyond VLO’s known Port Arthur issue.</w:t>
      </w:r>
    </w:p>
    <w:p>
      <w:r>
        <w:rPr>
          <w:rFonts w:ascii="Calibri" w:hAnsi="Calibri"/>
          <w:b/>
          <w:color w:val="525866"/>
          <w:sz w:val="22"/>
        </w:rPr>
        <w:t xml:space="preserve">Peers Not Yet Reported (as of July 29, 2026): </w:t>
      </w:r>
      <w:r>
        <w:rPr>
          <w:rFonts w:ascii="Calibri" w:hAnsi="Calibri"/>
          <w:color w:val="525866"/>
          <w:sz w:val="22"/>
        </w:rPr>
        <w:t>Marathon Petroleum (MPC) and PBF Energy (PBF) have not yet reported Q2 2026 results as of the preparation date. Their earnings calls are expected in the coming days and may provide additional read-through data. No conference commentary from MPC or PBF within the 60-day window was available in the research database.</w:t>
      </w:r>
    </w:p>
    <w:p>
      <w:r>
        <w:rPr>
          <w:rFonts w:ascii="Calibri" w:hAnsi="Calibri"/>
          <w:b/>
          <w:color w:val="525866"/>
          <w:sz w:val="22"/>
        </w:rPr>
        <w:t xml:space="preserve">Limitations: </w:t>
      </w:r>
      <w:r>
        <w:rPr>
          <w:rFonts w:ascii="Calibri" w:hAnsi="Calibri"/>
          <w:color w:val="525866"/>
          <w:sz w:val="22"/>
        </w:rPr>
        <w:t>DINO’s results reflect Mid-Continent and West Coast exposure; VLO’s system is more heavily weighted to the Gulf Coast and has a higher-complexity crude slate. PSX commentary is from a conference presentation and may not fully reflect Q2 2026 actual results. WCS differential tightening noted by PSX could be a modest headwind for VLO’s heavy sour advantage in Q2 specifically.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